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5BB2E" w14:textId="77777777" w:rsidR="001745EB" w:rsidRDefault="00000000">
      <w:pPr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 xml:space="preserve">Le rôle du sang </w:t>
      </w:r>
    </w:p>
    <w:p w14:paraId="50BA8EFB" w14:textId="77777777" w:rsidR="001745EB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00B0F0"/>
        </w:rPr>
        <w:t xml:space="preserve">Niveau de classe </w:t>
      </w:r>
      <w:r>
        <w:rPr>
          <w:rFonts w:ascii="Calibri" w:eastAsia="Calibri" w:hAnsi="Calibri" w:cs="Calibri"/>
        </w:rPr>
        <w:t>: cycle 4</w:t>
      </w:r>
    </w:p>
    <w:p w14:paraId="200C00A9" w14:textId="77777777" w:rsidR="001745EB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00B0F0"/>
        </w:rPr>
        <w:t>Notion du BO travaillée</w:t>
      </w:r>
      <w:r>
        <w:rPr>
          <w:rFonts w:ascii="Calibri" w:eastAsia="Calibri" w:hAnsi="Calibri" w:cs="Calibri"/>
          <w:color w:val="00B0F0"/>
        </w:rPr>
        <w:t> </w:t>
      </w:r>
      <w:r>
        <w:rPr>
          <w:rFonts w:ascii="Calibri" w:eastAsia="Calibri" w:hAnsi="Calibri" w:cs="Calibri"/>
        </w:rPr>
        <w:t>qui s’inscrit dans « Vivant et son évolution » &gt;&gt; « Le fonctionnement de l’organisme humain et sa santé » :</w:t>
      </w:r>
    </w:p>
    <w:p w14:paraId="07822632" w14:textId="77777777" w:rsidR="001745EB" w:rsidRDefault="00000000">
      <w:pPr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Relier les besoins en nutriments et dioxygène des cellules animales et le rôle des systèmes de transport dans l'organisme.</w:t>
      </w:r>
    </w:p>
    <w:p w14:paraId="26FFF4A1" w14:textId="77777777" w:rsidR="001745EB" w:rsidRDefault="00000000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L’activité vise l’étude de l’approvisionnement par le sang des cellules musculaires en glucose et </w:t>
      </w:r>
      <w:proofErr w:type="gramStart"/>
      <w:r>
        <w:rPr>
          <w:rFonts w:ascii="Calibri" w:eastAsia="Calibri" w:hAnsi="Calibri" w:cs="Calibri"/>
          <w:b/>
          <w:bCs/>
        </w:rPr>
        <w:t>en  dioxygène</w:t>
      </w:r>
      <w:proofErr w:type="gramEnd"/>
      <w:r>
        <w:rPr>
          <w:rFonts w:ascii="Calibri" w:eastAsia="Calibri" w:hAnsi="Calibri" w:cs="Calibri"/>
          <w:b/>
          <w:bCs/>
        </w:rPr>
        <w:t>.</w:t>
      </w:r>
    </w:p>
    <w:p w14:paraId="44587B43" w14:textId="77777777" w:rsidR="001745EB" w:rsidRDefault="001745EB">
      <w:pPr>
        <w:pStyle w:val="Paragraphedeliste"/>
        <w:spacing w:after="0" w:line="240" w:lineRule="auto"/>
        <w:jc w:val="both"/>
        <w:rPr>
          <w:rFonts w:ascii="Calibri" w:eastAsia="Calibri" w:hAnsi="Calibri" w:cs="Calibri"/>
        </w:rPr>
      </w:pPr>
    </w:p>
    <w:p w14:paraId="117D8AB7" w14:textId="77777777" w:rsidR="001745EB" w:rsidRDefault="00000000">
      <w:pPr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color w:val="00B0F0"/>
        </w:rPr>
        <w:t>Compétence travaillée dans l’activité</w:t>
      </w:r>
      <w:r>
        <w:rPr>
          <w:rFonts w:ascii="Calibri" w:eastAsia="Calibri" w:hAnsi="Calibri" w:cs="Calibri"/>
          <w:color w:val="00B0F0"/>
        </w:rPr>
        <w:t> </w:t>
      </w:r>
      <w:r>
        <w:rPr>
          <w:rFonts w:ascii="Calibri" w:eastAsia="Calibri" w:hAnsi="Calibri" w:cs="Calibri"/>
        </w:rPr>
        <w:t xml:space="preserve">: </w:t>
      </w:r>
      <w:r>
        <w:rPr>
          <w:rFonts w:ascii="Calibri" w:eastAsia="Calibri" w:hAnsi="Calibri" w:cs="Calibri"/>
          <w:color w:val="000000" w:themeColor="text1"/>
        </w:rPr>
        <w:t>Interpréter des résultats et en tirer des conclusions</w:t>
      </w:r>
    </w:p>
    <w:p w14:paraId="183F4C00" w14:textId="77777777" w:rsidR="001745EB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00B0F0"/>
        </w:rPr>
        <w:t>Contexte de l’activité</w:t>
      </w:r>
      <w:r>
        <w:rPr>
          <w:rFonts w:ascii="Calibri" w:eastAsia="Calibri" w:hAnsi="Calibri" w:cs="Calibri"/>
          <w:color w:val="00B0F0"/>
        </w:rPr>
        <w:t> </w:t>
      </w:r>
      <w:r>
        <w:rPr>
          <w:rFonts w:ascii="Calibri" w:eastAsia="Calibri" w:hAnsi="Calibri" w:cs="Calibri"/>
        </w:rPr>
        <w:t xml:space="preserve">: </w:t>
      </w:r>
    </w:p>
    <w:p w14:paraId="4F535458" w14:textId="77777777" w:rsidR="001745EB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Cette activité peut s’intégrer à une séquence pour </w:t>
      </w:r>
      <w:proofErr w:type="spellStart"/>
      <w:r>
        <w:rPr>
          <w:rFonts w:ascii="Calibri" w:eastAsia="Calibri" w:hAnsi="Calibri" w:cs="Calibri"/>
        </w:rPr>
        <w:t>co-construire</w:t>
      </w:r>
      <w:proofErr w:type="spellEnd"/>
      <w:r>
        <w:rPr>
          <w:rFonts w:ascii="Calibri" w:eastAsia="Calibri" w:hAnsi="Calibri" w:cs="Calibri"/>
        </w:rPr>
        <w:t xml:space="preserve"> les notions visées. Elle doit faire suite à l’étude des besoins du muscle en dioxygène et en glucose.</w:t>
      </w:r>
    </w:p>
    <w:p w14:paraId="4AD7A496" w14:textId="77777777" w:rsidR="001745EB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00B0F0"/>
        </w:rPr>
        <w:t xml:space="preserve">Contenu de l’activité </w:t>
      </w:r>
      <w:r>
        <w:rPr>
          <w:rFonts w:ascii="Calibri" w:eastAsia="Calibri" w:hAnsi="Calibri" w:cs="Calibri"/>
        </w:rPr>
        <w:t>:</w:t>
      </w:r>
    </w:p>
    <w:p w14:paraId="4DD1E88E" w14:textId="77777777" w:rsidR="001745EB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Consigne </w:t>
      </w:r>
      <w:r>
        <w:rPr>
          <w:rFonts w:ascii="Calibri" w:eastAsia="Calibri" w:hAnsi="Calibri" w:cs="Calibri"/>
        </w:rPr>
        <w:t>: I</w:t>
      </w:r>
      <w:r>
        <w:rPr>
          <w:rFonts w:ascii="Calibri" w:eastAsia="Calibri" w:hAnsi="Calibri" w:cs="Calibri"/>
          <w:b/>
          <w:bCs/>
        </w:rPr>
        <w:t xml:space="preserve">nterpréter et tirer des conclusions </w:t>
      </w:r>
      <w:r>
        <w:rPr>
          <w:rFonts w:ascii="Calibri" w:eastAsia="Calibri" w:hAnsi="Calibri" w:cs="Calibri"/>
        </w:rPr>
        <w:t>des expériences suivantes afin de mettre en évidence le rôle du sang dans le transport des substances dont le muscle a besoin.</w:t>
      </w:r>
    </w:p>
    <w:p w14:paraId="08D3762B" w14:textId="77777777" w:rsidR="001745EB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 w:clear="all"/>
      </w:r>
    </w:p>
    <w:p w14:paraId="3368F649" w14:textId="044AB7BA" w:rsidR="001745EB" w:rsidRDefault="00000000">
      <w:pPr>
        <w:pStyle w:val="Sansinterligne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lastRenderedPageBreak/>
        <w:t>Documents</w:t>
      </w:r>
      <w:r w:rsidR="005F554E">
        <w:rPr>
          <w:rFonts w:ascii="Calibri" w:eastAsia="Calibri" w:hAnsi="Calibri" w:cs="Calibri"/>
          <w:u w:val="single"/>
        </w:rPr>
        <w:t xml:space="preserve"> </w:t>
      </w:r>
      <w:r>
        <w:rPr>
          <w:rFonts w:ascii="Calibri" w:eastAsia="Calibri" w:hAnsi="Calibri" w:cs="Calibri"/>
        </w:rPr>
        <w:t xml:space="preserve">: </w:t>
      </w:r>
    </w:p>
    <w:p w14:paraId="5CBD1DDE" w14:textId="77777777" w:rsidR="001745EB" w:rsidRDefault="00000000">
      <w:pPr>
        <w:pStyle w:val="Titre2"/>
        <w:spacing w:before="200" w:after="0" w:line="276" w:lineRule="auto"/>
        <w:jc w:val="both"/>
        <w:rPr>
          <w:rFonts w:ascii="Calibri" w:eastAsia="Calibri" w:hAnsi="Calibri" w:cs="Calibri"/>
          <w:b/>
          <w:bCs/>
          <w:color w:val="4472C4" w:themeColor="accent1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4471C4"/>
          <w:sz w:val="22"/>
          <w:szCs w:val="22"/>
        </w:rPr>
        <w:t>Expérience 1 – Teneurs en dioxygène et glucose du sang artériel et du sang veineux</w:t>
      </w:r>
    </w:p>
    <w:p w14:paraId="5E2FB533" w14:textId="77777777" w:rsidR="001745EB" w:rsidRDefault="001745EB">
      <w:pPr>
        <w:keepNext/>
        <w:keepLines/>
        <w:jc w:val="both"/>
        <w:rPr>
          <w:rFonts w:ascii="Calibri" w:eastAsia="Calibri" w:hAnsi="Calibri" w:cs="Calibri"/>
        </w:rPr>
      </w:pPr>
    </w:p>
    <w:tbl>
      <w:tblPr>
        <w:tblW w:w="104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531"/>
        <w:gridCol w:w="3962"/>
        <w:gridCol w:w="3962"/>
      </w:tblGrid>
      <w:tr w:rsidR="001745EB" w14:paraId="54B94B46" w14:textId="77777777">
        <w:trPr>
          <w:trHeight w:val="300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6747406A" w14:textId="77777777" w:rsidR="001745EB" w:rsidRDefault="00000000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Type de sang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left w:w="105" w:type="dxa"/>
              <w:right w:w="105" w:type="dxa"/>
            </w:tcMar>
          </w:tcPr>
          <w:p w14:paraId="337F0903" w14:textId="77777777" w:rsidR="001745EB" w:rsidRDefault="00000000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Teneur en dioxygène (</w:t>
            </w:r>
            <w:proofErr w:type="spellStart"/>
            <w:r>
              <w:rPr>
                <w:rFonts w:ascii="Calibri" w:eastAsia="Calibri" w:hAnsi="Calibri" w:cs="Calibri"/>
              </w:rPr>
              <w:t>mL</w:t>
            </w:r>
            <w:proofErr w:type="spellEnd"/>
            <w:r>
              <w:rPr>
                <w:rFonts w:ascii="Calibri" w:eastAsia="Calibri" w:hAnsi="Calibri" w:cs="Calibri"/>
              </w:rPr>
              <w:t xml:space="preserve">/L)         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left w:w="105" w:type="dxa"/>
              <w:right w:w="105" w:type="dxa"/>
            </w:tcMar>
          </w:tcPr>
          <w:p w14:paraId="2B897E26" w14:textId="77777777" w:rsidR="001745EB" w:rsidRDefault="00000000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Teneur en Glucose (</w:t>
            </w:r>
            <w:proofErr w:type="spellStart"/>
            <w:r>
              <w:rPr>
                <w:rFonts w:ascii="Calibri" w:eastAsia="Calibri" w:hAnsi="Calibri" w:cs="Calibri"/>
              </w:rPr>
              <w:t>mL</w:t>
            </w:r>
            <w:proofErr w:type="spellEnd"/>
            <w:r>
              <w:rPr>
                <w:rFonts w:ascii="Calibri" w:eastAsia="Calibri" w:hAnsi="Calibri" w:cs="Calibri"/>
              </w:rPr>
              <w:t>/L)</w:t>
            </w:r>
          </w:p>
        </w:tc>
      </w:tr>
      <w:tr w:rsidR="001745EB" w14:paraId="2731D70B" w14:textId="77777777">
        <w:trPr>
          <w:trHeight w:val="300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6389A39B" w14:textId="77777777" w:rsidR="001745EB" w:rsidRDefault="00000000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Sang artériel (provenant du cœur vers les organes)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left w:w="105" w:type="dxa"/>
              <w:right w:w="105" w:type="dxa"/>
            </w:tcMar>
          </w:tcPr>
          <w:p w14:paraId="32564FB8" w14:textId="77777777" w:rsidR="001745EB" w:rsidRDefault="00000000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200                                                               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left w:w="105" w:type="dxa"/>
              <w:right w:w="105" w:type="dxa"/>
            </w:tcMar>
          </w:tcPr>
          <w:p w14:paraId="343D1A97" w14:textId="77777777" w:rsidR="001745EB" w:rsidRDefault="00000000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1745EB" w14:paraId="59FF0861" w14:textId="77777777">
        <w:trPr>
          <w:trHeight w:val="300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3E137FB6" w14:textId="77777777" w:rsidR="001745EB" w:rsidRDefault="00000000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Sang veineux (revenant des organes vers le cœur)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left w:w="105" w:type="dxa"/>
              <w:right w:w="105" w:type="dxa"/>
            </w:tcMar>
          </w:tcPr>
          <w:p w14:paraId="0D17443C" w14:textId="77777777" w:rsidR="001745EB" w:rsidRDefault="00000000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150                                                              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left w:w="105" w:type="dxa"/>
              <w:right w:w="105" w:type="dxa"/>
            </w:tcMar>
          </w:tcPr>
          <w:p w14:paraId="50A1607A" w14:textId="77777777" w:rsidR="001745EB" w:rsidRDefault="00000000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0,8</w:t>
            </w:r>
          </w:p>
        </w:tc>
      </w:tr>
    </w:tbl>
    <w:p w14:paraId="27F145D6" w14:textId="77777777" w:rsidR="001745EB" w:rsidRDefault="00000000">
      <w:pPr>
        <w:pStyle w:val="Sansinterligne"/>
        <w:jc w:val="center"/>
        <w:rPr>
          <w:rFonts w:ascii="Calibri" w:eastAsia="Calibri" w:hAnsi="Calibri" w:cs="Calibri"/>
          <w:b/>
          <w:bCs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Titre : </w:t>
      </w:r>
      <w:r>
        <w:rPr>
          <w:rFonts w:ascii="Calibri" w:eastAsia="Calibri" w:hAnsi="Calibri" w:cs="Calibri"/>
          <w:b/>
          <w:bCs/>
          <w:color w:val="000000" w:themeColor="text1"/>
        </w:rPr>
        <w:t>teneurs en dioxygène et en glucose du sang artériel et du sang veineux</w:t>
      </w:r>
    </w:p>
    <w:p w14:paraId="6E10D8FD" w14:textId="77777777" w:rsidR="001745EB" w:rsidRDefault="001745EB">
      <w:pPr>
        <w:pStyle w:val="Sansinterligne"/>
        <w:jc w:val="both"/>
        <w:rPr>
          <w:rFonts w:ascii="Calibri" w:eastAsia="Calibri" w:hAnsi="Calibri" w:cs="Calibri"/>
          <w:color w:val="FF0000"/>
        </w:rPr>
      </w:pPr>
    </w:p>
    <w:p w14:paraId="17614F3C" w14:textId="77777777" w:rsidR="001745EB" w:rsidRDefault="00000000">
      <w:pPr>
        <w:jc w:val="both"/>
        <w:rPr>
          <w:rFonts w:ascii="Calibri" w:eastAsia="Calibri" w:hAnsi="Calibri" w:cs="Calibri"/>
          <w:b/>
          <w:bCs/>
          <w:color w:val="2F5496" w:themeColor="accent1" w:themeShade="BF"/>
        </w:rPr>
      </w:pPr>
      <w:r>
        <w:rPr>
          <w:rFonts w:ascii="Calibri" w:eastAsia="Calibri" w:hAnsi="Calibri" w:cs="Calibri"/>
          <w:b/>
          <w:bCs/>
          <w:color w:val="4471C4"/>
          <w:u w:val="single"/>
        </w:rPr>
        <w:t>Expérience 2</w:t>
      </w:r>
      <w:r>
        <w:rPr>
          <w:rFonts w:ascii="Calibri" w:eastAsia="Calibri" w:hAnsi="Calibri" w:cs="Calibri"/>
          <w:b/>
          <w:bCs/>
          <w:color w:val="4471C4"/>
        </w:rPr>
        <w:t xml:space="preserve"> –</w:t>
      </w:r>
      <w:r>
        <w:rPr>
          <w:rFonts w:ascii="Calibri" w:eastAsia="Calibri" w:hAnsi="Calibri" w:cs="Calibri"/>
          <w:b/>
          <w:bCs/>
          <w:color w:val="2F5496" w:themeColor="accent1" w:themeShade="BF"/>
        </w:rPr>
        <w:t xml:space="preserve"> Variation de différents paramètres du système cardiovasculaire en fonction de l’activité d’un muscle.</w:t>
      </w:r>
    </w:p>
    <w:p w14:paraId="0B2964E0" w14:textId="77777777" w:rsidR="001745EB" w:rsidRDefault="00000000">
      <w:pPr>
        <w:pStyle w:val="Sansinterligne"/>
        <w:jc w:val="both"/>
        <w:rPr>
          <w:rFonts w:ascii="Calibri" w:eastAsia="Calibri" w:hAnsi="Calibri" w:cs="Calibri"/>
        </w:rPr>
      </w:pPr>
      <w:r>
        <w:rPr>
          <w:noProof/>
        </w:rPr>
        <mc:AlternateContent>
          <mc:Choice Requires="wpg">
            <w:drawing>
              <wp:inline distT="0" distB="0" distL="0" distR="0" wp14:anchorId="496F2A0D" wp14:editId="48AD1335">
                <wp:extent cx="6000750" cy="3705225"/>
                <wp:effectExtent l="0" t="0" r="0" b="0"/>
                <wp:docPr id="1" name="drawing" title="\\serveur2012\haem$\Documents\schéma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5965693" name="Picture 2005965693"/>
                        <pic:cNvPicPr>
                          <a:picLocks noChangeAspect="1"/>
                        </pic:cNvPicPr>
                      </pic:nvPicPr>
                      <pic:blipFill rotWithShape="1"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6000750" cy="3705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72.50pt;height:291.75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</w:p>
    <w:p w14:paraId="4E0FA211" w14:textId="77777777" w:rsidR="001745EB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 w:clear="all"/>
      </w:r>
    </w:p>
    <w:p w14:paraId="48C944F6" w14:textId="77777777" w:rsidR="001745EB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00B0F0"/>
        </w:rPr>
        <w:lastRenderedPageBreak/>
        <w:t xml:space="preserve">Critères de réussite de la compétence travaillée </w:t>
      </w:r>
      <w:r>
        <w:rPr>
          <w:rFonts w:ascii="Calibri" w:eastAsia="Calibri" w:hAnsi="Calibri" w:cs="Calibri"/>
        </w:rPr>
        <w:t xml:space="preserve">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8550"/>
        <w:gridCol w:w="1500"/>
      </w:tblGrid>
      <w:tr w:rsidR="001745EB" w14:paraId="1D5D9431" w14:textId="77777777">
        <w:trPr>
          <w:trHeight w:val="390"/>
        </w:trPr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tcMar>
              <w:left w:w="60" w:type="dxa"/>
              <w:right w:w="60" w:type="dxa"/>
            </w:tcMar>
          </w:tcPr>
          <w:p w14:paraId="6C676296" w14:textId="77777777" w:rsidR="001745EB" w:rsidRDefault="00000000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Je réussis si : </w:t>
            </w:r>
          </w:p>
          <w:p w14:paraId="553E10CC" w14:textId="77777777" w:rsidR="001745EB" w:rsidRDefault="00000000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+/-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tcMar>
              <w:left w:w="60" w:type="dxa"/>
              <w:right w:w="60" w:type="dxa"/>
            </w:tcMar>
          </w:tcPr>
          <w:p w14:paraId="49174923" w14:textId="77777777" w:rsidR="001745EB" w:rsidRDefault="00000000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Evaluation</w:t>
            </w:r>
          </w:p>
        </w:tc>
      </w:tr>
      <w:tr w:rsidR="001745EB" w14:paraId="73DF1606" w14:textId="77777777">
        <w:trPr>
          <w:trHeight w:val="570"/>
        </w:trPr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</w:tcPr>
          <w:p w14:paraId="2A0AD26D" w14:textId="77777777" w:rsidR="001745EB" w:rsidRDefault="00000000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  <w:u w:val="single"/>
              </w:rPr>
              <w:t xml:space="preserve">PERTINENCE 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: Mon interprétation permet de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valider ou de réfuter l’hypothèse testée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et donc de répondre au problème posé.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</w:tcPr>
          <w:p w14:paraId="7C376308" w14:textId="77777777" w:rsidR="001745EB" w:rsidRDefault="001745EB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745EB" w14:paraId="74B1B5CE" w14:textId="77777777">
        <w:trPr>
          <w:trHeight w:val="570"/>
        </w:trPr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</w:tcPr>
          <w:p w14:paraId="505CE894" w14:textId="77777777" w:rsidR="001745EB" w:rsidRDefault="00000000">
            <w:pPr>
              <w:pStyle w:val="TableParagraph"/>
              <w:tabs>
                <w:tab w:val="left" w:pos="805"/>
              </w:tabs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u w:val="single"/>
              </w:rPr>
              <w:t xml:space="preserve">COMPLETUDE </w:t>
            </w:r>
            <w:r>
              <w:rPr>
                <w:color w:val="000000" w:themeColor="text1"/>
              </w:rPr>
              <w:t xml:space="preserve">: Mon interprétation précise : </w:t>
            </w:r>
          </w:p>
          <w:p w14:paraId="17534E1C" w14:textId="77777777" w:rsidR="001745EB" w:rsidRDefault="00000000">
            <w:pPr>
              <w:pStyle w:val="TableParagraph"/>
              <w:tabs>
                <w:tab w:val="left" w:pos="805"/>
              </w:tabs>
              <w:spacing w:line="260" w:lineRule="exac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>
              <w:rPr>
                <w:b/>
                <w:bCs/>
                <w:color w:val="000000" w:themeColor="text1"/>
              </w:rPr>
              <w:t xml:space="preserve">« Ce que l’on voit » : </w:t>
            </w:r>
            <w:r>
              <w:rPr>
                <w:color w:val="000000" w:themeColor="text1"/>
              </w:rPr>
              <w:t>présentation de l’ensemble des résultats.</w:t>
            </w:r>
          </w:p>
          <w:p w14:paraId="71E84190" w14:textId="77777777" w:rsidR="001745EB" w:rsidRDefault="00000000">
            <w:pPr>
              <w:pStyle w:val="TableParagraph"/>
              <w:tabs>
                <w:tab w:val="left" w:pos="805"/>
              </w:tabs>
              <w:spacing w:before="2" w:line="232" w:lineRule="auto"/>
              <w:ind w:right="82"/>
              <w:jc w:val="both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- « Ce que l’on sait » : </w:t>
            </w:r>
            <w:r>
              <w:rPr>
                <w:color w:val="000000" w:themeColor="text1"/>
              </w:rPr>
              <w:t>ajout des notions issues des connaissances/ressources et/ou mise en situation, adaptées à l’interprétation.</w:t>
            </w:r>
          </w:p>
          <w:p w14:paraId="762836C2" w14:textId="77777777" w:rsidR="001745EB" w:rsidRDefault="00000000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- « Ce que l’on conclut » : </w:t>
            </w:r>
            <w:r>
              <w:rPr>
                <w:rFonts w:ascii="Calibri" w:eastAsia="Calibri" w:hAnsi="Calibri" w:cs="Calibri"/>
                <w:color w:val="000000" w:themeColor="text1"/>
              </w:rPr>
              <w:t>mise en relation des résultats et des notions pour répondre au problème.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</w:tcPr>
          <w:p w14:paraId="7FC99DA5" w14:textId="77777777" w:rsidR="001745EB" w:rsidRDefault="001745EB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745EB" w14:paraId="188FA5A5" w14:textId="77777777">
        <w:trPr>
          <w:trHeight w:val="1125"/>
        </w:trPr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</w:tcPr>
          <w:p w14:paraId="60988B35" w14:textId="77777777" w:rsidR="001745EB" w:rsidRDefault="00000000">
            <w:pPr>
              <w:pStyle w:val="TableParagraph"/>
              <w:ind w:left="85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u w:val="single"/>
              </w:rPr>
              <w:t>EXACTITUDE </w:t>
            </w:r>
            <w:r>
              <w:rPr>
                <w:color w:val="000000" w:themeColor="text1"/>
              </w:rPr>
              <w:t xml:space="preserve">: Je suis </w:t>
            </w:r>
            <w:r>
              <w:rPr>
                <w:b/>
                <w:bCs/>
                <w:color w:val="000000" w:themeColor="text1"/>
              </w:rPr>
              <w:t>rigoureux / rigoureuse dans l’interprétation :</w:t>
            </w:r>
          </w:p>
          <w:p w14:paraId="57215555" w14:textId="77777777" w:rsidR="001745E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05"/>
              </w:tabs>
              <w:jc w:val="both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quantification</w:t>
            </w:r>
            <w:proofErr w:type="gramEnd"/>
            <w:r>
              <w:rPr>
                <w:color w:val="000000" w:themeColor="text1"/>
              </w:rPr>
              <w:t xml:space="preserve"> des données si possible.</w:t>
            </w:r>
          </w:p>
          <w:p w14:paraId="34D378FE" w14:textId="77777777" w:rsidR="001745E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05"/>
              </w:tabs>
              <w:jc w:val="both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vocabulaire</w:t>
            </w:r>
            <w:proofErr w:type="gramEnd"/>
            <w:r>
              <w:rPr>
                <w:color w:val="000000" w:themeColor="text1"/>
              </w:rPr>
              <w:t xml:space="preserve"> scientifique exact et précis.</w:t>
            </w:r>
          </w:p>
          <w:p w14:paraId="2FD57D52" w14:textId="77777777" w:rsidR="001745E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05"/>
              </w:tabs>
              <w:jc w:val="both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sans</w:t>
            </w:r>
            <w:proofErr w:type="gramEnd"/>
            <w:r>
              <w:rPr>
                <w:color w:val="000000" w:themeColor="text1"/>
              </w:rPr>
              <w:t xml:space="preserve"> déformation ni erreur de lecture.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</w:tcPr>
          <w:p w14:paraId="2C356C7C" w14:textId="77777777" w:rsidR="001745EB" w:rsidRDefault="001745EB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745EB" w14:paraId="24B7FBD8" w14:textId="77777777">
        <w:trPr>
          <w:trHeight w:val="570"/>
        </w:trPr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</w:tcPr>
          <w:p w14:paraId="59D26130" w14:textId="77777777" w:rsidR="001745EB" w:rsidRDefault="00000000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  <w:u w:val="single"/>
              </w:rPr>
              <w:t xml:space="preserve">CONFORMITE : 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J’ai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structuré </w:t>
            </w:r>
            <w:r>
              <w:rPr>
                <w:rFonts w:ascii="Calibri" w:eastAsia="Calibri" w:hAnsi="Calibri" w:cs="Calibri"/>
                <w:color w:val="000000" w:themeColor="text1"/>
              </w:rPr>
              <w:t>mon écrit afin de faciliter sa lecture et sa compréhension : j’ai mis en relation les 3 parties de mon interprétation par des connecteurs logiques.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</w:tcPr>
          <w:p w14:paraId="76E75BC1" w14:textId="77777777" w:rsidR="001745EB" w:rsidRDefault="001745EB">
            <w:pPr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41454358" w14:textId="77777777" w:rsidR="001745EB" w:rsidRDefault="001745EB">
      <w:pPr>
        <w:jc w:val="both"/>
        <w:rPr>
          <w:rFonts w:ascii="Calibri" w:eastAsia="Calibri" w:hAnsi="Calibri" w:cs="Calibri"/>
          <w:color w:val="FF0000"/>
        </w:rPr>
      </w:pPr>
    </w:p>
    <w:p w14:paraId="19355173" w14:textId="77777777" w:rsidR="001745EB" w:rsidRDefault="00000000">
      <w:pPr>
        <w:jc w:val="both"/>
        <w:rPr>
          <w:rFonts w:ascii="Calibri" w:eastAsia="Calibri" w:hAnsi="Calibri" w:cs="Calibri"/>
          <w:b/>
          <w:bCs/>
          <w:color w:val="00B0F0"/>
        </w:rPr>
      </w:pPr>
      <w:r>
        <w:rPr>
          <w:rFonts w:ascii="Calibri" w:eastAsia="Calibri" w:hAnsi="Calibri" w:cs="Calibri"/>
          <w:b/>
          <w:bCs/>
          <w:color w:val="00B0F0"/>
        </w:rPr>
        <w:t>Annexe :</w:t>
      </w:r>
    </w:p>
    <w:p w14:paraId="2D827162" w14:textId="77777777" w:rsidR="001745EB" w:rsidRDefault="00000000">
      <w:pPr>
        <w:pStyle w:val="Paragraphedeliste"/>
        <w:numPr>
          <w:ilvl w:val="0"/>
          <w:numId w:val="8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Différenciation possible en proposant des résultats sous forme de texte. </w:t>
      </w:r>
    </w:p>
    <w:p w14:paraId="004496D2" w14:textId="77777777" w:rsidR="001745EB" w:rsidRDefault="00000000">
      <w:pPr>
        <w:pStyle w:val="Paragraphedeliste"/>
        <w:numPr>
          <w:ilvl w:val="0"/>
          <w:numId w:val="8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Ajouter à la consigne, pour les élèves en difficulté, la mention :  Comparer la valeur des différents paramètres lorsque le muscle est au repos et en activité. </w:t>
      </w:r>
    </w:p>
    <w:p w14:paraId="625A9E13" w14:textId="77777777" w:rsidR="001745EB" w:rsidRDefault="001745EB">
      <w:pPr>
        <w:jc w:val="both"/>
        <w:rPr>
          <w:rFonts w:ascii="Calibri" w:eastAsia="Calibri" w:hAnsi="Calibri" w:cs="Calibri"/>
          <w:color w:val="FF0000"/>
        </w:rPr>
      </w:pPr>
    </w:p>
    <w:sectPr w:rsidR="001745EB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504AC" w14:textId="77777777" w:rsidR="007F64FD" w:rsidRDefault="007F64FD">
      <w:pPr>
        <w:spacing w:after="0" w:line="240" w:lineRule="auto"/>
      </w:pPr>
      <w:r>
        <w:separator/>
      </w:r>
    </w:p>
  </w:endnote>
  <w:endnote w:type="continuationSeparator" w:id="0">
    <w:p w14:paraId="49EFE10A" w14:textId="77777777" w:rsidR="007F64FD" w:rsidRDefault="007F6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20DDE" w14:textId="77777777" w:rsidR="007F64FD" w:rsidRDefault="007F64FD">
      <w:pPr>
        <w:spacing w:after="0" w:line="240" w:lineRule="auto"/>
      </w:pPr>
      <w:r>
        <w:separator/>
      </w:r>
    </w:p>
  </w:footnote>
  <w:footnote w:type="continuationSeparator" w:id="0">
    <w:p w14:paraId="1E7AC81A" w14:textId="77777777" w:rsidR="007F64FD" w:rsidRDefault="007F64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3EF3"/>
    <w:multiLevelType w:val="multilevel"/>
    <w:tmpl w:val="776286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64DE5"/>
    <w:multiLevelType w:val="multilevel"/>
    <w:tmpl w:val="42901C7E"/>
    <w:lvl w:ilvl="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F5072"/>
    <w:multiLevelType w:val="multilevel"/>
    <w:tmpl w:val="EEACF9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94650"/>
    <w:multiLevelType w:val="multilevel"/>
    <w:tmpl w:val="6A48E0C0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1E5F5147"/>
    <w:multiLevelType w:val="multilevel"/>
    <w:tmpl w:val="A3C8A356"/>
    <w:lvl w:ilvl="0">
      <w:numFmt w:val="bullet"/>
      <w:lvlText w:val="-"/>
      <w:lvlJc w:val="left"/>
      <w:pPr>
        <w:ind w:left="805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01DFC"/>
    <w:multiLevelType w:val="multilevel"/>
    <w:tmpl w:val="15187F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5313E"/>
    <w:multiLevelType w:val="multilevel"/>
    <w:tmpl w:val="82D0CF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83A10"/>
    <w:multiLevelType w:val="multilevel"/>
    <w:tmpl w:val="5F3E67B0"/>
    <w:lvl w:ilvl="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210853">
    <w:abstractNumId w:val="4"/>
  </w:num>
  <w:num w:numId="2" w16cid:durableId="218132772">
    <w:abstractNumId w:val="5"/>
  </w:num>
  <w:num w:numId="3" w16cid:durableId="507334020">
    <w:abstractNumId w:val="0"/>
  </w:num>
  <w:num w:numId="4" w16cid:durableId="527986726">
    <w:abstractNumId w:val="2"/>
  </w:num>
  <w:num w:numId="5" w16cid:durableId="1163818336">
    <w:abstractNumId w:val="3"/>
  </w:num>
  <w:num w:numId="6" w16cid:durableId="967472071">
    <w:abstractNumId w:val="7"/>
  </w:num>
  <w:num w:numId="7" w16cid:durableId="1134759145">
    <w:abstractNumId w:val="6"/>
  </w:num>
  <w:num w:numId="8" w16cid:durableId="1521429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5EB"/>
    <w:rsid w:val="001745EB"/>
    <w:rsid w:val="005F554E"/>
    <w:rsid w:val="007F64FD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AA02D"/>
  <w15:docId w15:val="{4A0BDAB9-A2CA-4A73-963A-CAD532EF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Mentionnonrsolue">
    <w:name w:val="Unresolved Mention"/>
    <w:uiPriority w:val="99"/>
    <w:semiHidden/>
    <w:unhideWhenUsed/>
    <w:rPr>
      <w:color w:val="605E5C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0" w:lineRule="auto"/>
    </w:pPr>
    <w:rPr>
      <w:rFonts w:ascii="Calibri" w:eastAsia="Calibri" w:hAnsi="Calibri" w:cs="Calibri"/>
    </w:rPr>
  </w:style>
  <w:style w:type="character" w:styleId="Titredulivre">
    <w:name w:val="Book Title"/>
    <w:uiPriority w:val="33"/>
    <w:qFormat/>
    <w:rPr>
      <w:b/>
      <w:bCs/>
      <w:i/>
      <w:iCs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413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Manuella Van-Praet</dc:creator>
  <cp:lastModifiedBy>Manuella Van-Praet</cp:lastModifiedBy>
  <cp:revision>3</cp:revision>
  <cp:lastPrinted>2026-07-10T16:17:00Z</cp:lastPrinted>
  <dcterms:created xsi:type="dcterms:W3CDTF">2026-07-10T16:17:00Z</dcterms:created>
  <dcterms:modified xsi:type="dcterms:W3CDTF">2026-07-10T16:18:00Z</dcterms:modified>
</cp:coreProperties>
</file>