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B67525D" w14:textId="378CE3AF"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La contraception hormonale masculine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 w14:paraId="44811D48" w14:textId="2A89B197">
      <w:pPr>
        <w:pBdr/>
        <w:spacing/>
        <w:ind/>
        <w:jc w:val="both"/>
        <w:rPr/>
      </w:pPr>
      <w:r>
        <w:rPr>
          <w:b/>
          <w:color w:val="00b0f0"/>
        </w:rPr>
        <w:t xml:space="preserve">Niveau de classe</w:t>
      </w:r>
      <w:r>
        <w:rPr>
          <w:b/>
          <w:color w:val="00b0f0"/>
        </w:rPr>
        <w:t xml:space="preserve"> </w:t>
      </w:r>
      <w:r>
        <w:t xml:space="preserve">:</w:t>
      </w:r>
      <w:r>
        <w:t xml:space="preserve"> </w:t>
      </w:r>
      <w:r>
        <w:t xml:space="preserve">Seconde</w:t>
      </w:r>
      <w:r/>
    </w:p>
    <w:p w14:paraId="284D2F52" w14:textId="5BF69A06">
      <w:pPr>
        <w:pBdr/>
        <w:spacing/>
        <w:ind/>
        <w:rPr>
          <w:rFonts w:asciiTheme="majorHAnsi" w:hAnsiTheme="majorHAnsi" w:cstheme="majorHAnsi"/>
        </w:rPr>
      </w:pPr>
      <w:r>
        <w:rPr>
          <w:b/>
          <w:color w:val="00b0f0"/>
        </w:rPr>
        <w:t xml:space="preserve">Notion du BO travaillée</w:t>
      </w:r>
      <w:r>
        <w:rPr>
          <w:color w:val="00b0f0"/>
        </w:rPr>
        <w:t xml:space="preserve"> </w:t>
      </w:r>
      <w:r>
        <w:rPr>
          <w:rFonts w:asciiTheme="majorHAnsi" w:hAnsiTheme="majorHAnsi" w:cstheme="majorHAnsi"/>
        </w:rPr>
        <w:t xml:space="preserve">qui s’inscrit dans « </w:t>
      </w:r>
      <w:r>
        <w:rPr>
          <w:rFonts w:asciiTheme="majorHAnsi" w:hAnsiTheme="majorHAnsi" w:cstheme="majorHAnsi"/>
        </w:rPr>
        <w:t xml:space="preserve">Corps humain et </w:t>
      </w:r>
      <w:r>
        <w:rPr>
          <w:rFonts w:asciiTheme="majorHAnsi" w:hAnsiTheme="majorHAnsi" w:cstheme="majorHAnsi"/>
        </w:rPr>
        <w:t xml:space="preserve">santé</w:t>
      </w:r>
      <w:r>
        <w:rPr>
          <w:rFonts w:asciiTheme="majorHAnsi" w:hAnsiTheme="majorHAnsi" w:cstheme="majorHAnsi"/>
        </w:rPr>
        <w:t xml:space="preserve"> »</w:t>
      </w:r>
      <w:r>
        <w:rPr>
          <w:rFonts w:asciiTheme="majorHAnsi" w:hAnsiTheme="majorHAnsi" w:cstheme="majorHAnsi"/>
        </w:rPr>
        <w:t xml:space="preserve"> &gt;&gt;</w:t>
      </w:r>
      <w:r>
        <w:rPr>
          <w:rFonts w:asciiTheme="majorHAnsi" w:hAnsiTheme="majorHAnsi" w:cstheme="majorHAnsi"/>
        </w:rPr>
        <w:t xml:space="preserve"> «</w:t>
      </w:r>
      <w:r>
        <w:rPr>
          <w:rFonts w:asciiTheme="majorHAnsi" w:hAnsiTheme="majorHAnsi" w:cstheme="majorHAnsi"/>
        </w:rPr>
        <w:t xml:space="preserve"> Hormones</w:t>
      </w:r>
      <w:r>
        <w:rPr>
          <w:rFonts w:asciiTheme="majorHAnsi" w:hAnsiTheme="majorHAnsi" w:cstheme="majorHAnsi"/>
        </w:rPr>
        <w:t xml:space="preserve"> et procréation humaine » :</w: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60107025" w14:textId="4F90C588">
      <w:pPr>
        <w:pBdr/>
        <w:spacing/>
        <w:ind/>
        <w:jc w:val="both"/>
        <w:rPr/>
      </w:pPr>
      <w:r>
        <w:t xml:space="preserve">Le fonctionnement de l’appareil reproducteur repose sur un dispositif neuroendocrinien</w:t>
      </w:r>
      <w:r>
        <w:t xml:space="preserve"> </w:t>
      </w:r>
      <w:r>
        <w:t xml:space="preserve">faisant intervenir l’hypothalamus, l’hypophyse et les organes sexuels. La connaissance de</w:t>
      </w:r>
      <w:r>
        <w:t xml:space="preserve"> </w:t>
      </w:r>
      <w:r>
        <w:t xml:space="preserve">plus en plus précise des hormones naturelles endogènes contrôlant les fonctions de</w:t>
      </w:r>
      <w:r>
        <w:t xml:space="preserve"> </w:t>
      </w:r>
      <w:r>
        <w:t xml:space="preserve">reproduction humaine a permis progressivement la mise au point de molécules de synthèse</w:t>
      </w:r>
      <w:r>
        <w:t xml:space="preserve"> </w:t>
      </w:r>
      <w:r>
        <w:t xml:space="preserve">exogènes qui leurrent ce système et permettent une maîtrise de la procréation, avec de</w:t>
      </w:r>
      <w:r>
        <w:t xml:space="preserve"> </w:t>
      </w:r>
      <w:r>
        <w:t xml:space="preserve">moins en moins d'effets secondaires.</w:t>
      </w:r>
      <w:r/>
    </w:p>
    <w:p w14:paraId="341D204D" w14:textId="0D63C365">
      <w:pPr>
        <w:pBdr/>
        <w:spacing/>
        <w:ind/>
        <w:jc w:val="both"/>
        <w:rPr/>
      </w:pPr>
      <w:r>
        <w:t xml:space="preserve">Chez la femme et chez l’homme, ces molécules de synthèse sont utilisées dans </w:t>
      </w:r>
      <w:r>
        <w:t xml:space="preserve">la contraception</w:t>
      </w:r>
      <w:r>
        <w:t xml:space="preserve"> régulière (« la pilule</w:t>
      </w:r>
      <w:r>
        <w:t xml:space="preserve"> »).</w:t>
      </w:r>
      <w:r/>
    </w:p>
    <w:p w14:paraId="1CDD7606" w14:textId="47C950A1">
      <w:pPr>
        <w:pStyle w:val="905"/>
        <w:pBdr/>
        <w:spacing/>
        <w:ind/>
        <w:jc w:val="both"/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b/>
          <w:i/>
          <w:iCs/>
          <w:color w:val="000000" w:themeColor="text1"/>
          <w:sz w:val="22"/>
          <w:szCs w:val="22"/>
          <w:lang w:eastAsia="en-US"/>
        </w:rPr>
        <w:t xml:space="preserve">Notions fondamentales :</w:t>
      </w:r>
      <w:r>
        <w:rPr>
          <w:rFonts w:asciiTheme="minorHAnsi" w:hAnsiTheme="minorHAnsi" w:eastAsiaTheme="minorHAnsi" w:cstheme="minorBidi"/>
          <w:b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hormones et neurohormones hypothalamo-hypophysaires (FSH,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LH et GnRH) ; modes d’action biologique des molécules exogènes.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r>
    </w:p>
    <w:p w14:paraId="5B410ADD" w14:textId="77059879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728DFB2D" w14:textId="0FB058CA">
      <w:pPr>
        <w:pStyle w:val="900"/>
        <w:numPr>
          <w:ilvl w:val="0"/>
          <w:numId w:val="1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L’activité </w:t>
      </w:r>
      <w:r>
        <w:rPr>
          <w:rFonts w:asciiTheme="majorHAnsi" w:hAnsiTheme="majorHAnsi" w:cstheme="majorHAnsi"/>
          <w:b/>
        </w:rPr>
        <w:t xml:space="preserve">vise l’étude </w:t>
      </w:r>
      <w:r>
        <w:rPr>
          <w:rFonts w:asciiTheme="majorHAnsi" w:hAnsiTheme="majorHAnsi" w:cstheme="majorHAnsi"/>
          <w:b/>
        </w:rPr>
        <w:t xml:space="preserve">de l’action d’un contraceptif hormonal sur le complexe hypothalamo-hypophysaire.</w:t>
      </w:r>
      <w:r>
        <w:rPr>
          <w:rFonts w:asciiTheme="majorHAnsi" w:hAnsiTheme="majorHAnsi" w:cstheme="majorHAnsi"/>
          <w:b/>
        </w:rPr>
      </w:r>
      <w:r>
        <w:rPr>
          <w:rFonts w:asciiTheme="majorHAnsi" w:hAnsiTheme="majorHAnsi" w:cstheme="majorHAnsi"/>
          <w:b/>
        </w:rPr>
      </w:r>
    </w:p>
    <w:p w14:paraId="4BE9E1F0" w14:textId="77777777">
      <w:pPr>
        <w:pStyle w:val="900"/>
        <w:pBdr/>
        <w:spacing w:after="0" w:line="240" w:lineRule="auto"/>
        <w:ind/>
        <w:jc w:val="both"/>
        <w:rPr/>
      </w:pPr>
      <w:r/>
      <w:r/>
    </w:p>
    <w:p w14:paraId="668D7FF0" w14:textId="6F6770E1">
      <w:pPr>
        <w:pBdr/>
        <w:spacing/>
        <w:ind/>
        <w:jc w:val="both"/>
        <w:rPr/>
      </w:pPr>
      <w:r>
        <w:rPr>
          <w:b/>
          <w:color w:val="00b0f0"/>
        </w:rPr>
        <w:t xml:space="preserve">Compétence travaillée dans l’activité</w:t>
      </w:r>
      <w:r>
        <w:rPr>
          <w:color w:val="00b0f0"/>
        </w:rPr>
        <w:t xml:space="preserve"> </w:t>
      </w:r>
      <w:r>
        <w:t xml:space="preserve">:</w:t>
      </w:r>
      <w:r>
        <w:t xml:space="preserve"> </w:t>
      </w:r>
      <w:r>
        <w:t xml:space="preserve">Interpréter les résultats et en tirer des conclusions</w:t>
      </w:r>
      <w:r/>
    </w:p>
    <w:p w14:paraId="65A0939D" w14:textId="77777777">
      <w:pPr>
        <w:pBdr/>
        <w:spacing/>
        <w:ind/>
        <w:jc w:val="both"/>
        <w:rPr/>
      </w:pPr>
      <w:r>
        <w:rPr>
          <w:b/>
          <w:color w:val="00b0f0"/>
        </w:rPr>
        <w:t xml:space="preserve">Contenu de l’activité</w:t>
      </w:r>
      <w:r>
        <w:rPr>
          <w:b/>
          <w:color w:val="00b0f0"/>
        </w:rPr>
        <w:t xml:space="preserve"> </w:t>
      </w:r>
      <w:r>
        <w:t xml:space="preserve">:</w:t>
      </w:r>
      <w:r/>
    </w:p>
    <w:p w14:paraId="5C4BEA0A" w14:textId="6FFAE81A">
      <w:pPr>
        <w:pBdr/>
        <w:spacing/>
        <w:ind/>
        <w:jc w:val="both"/>
        <w:rPr>
          <w:rFonts w:ascii="Calibri" w:hAnsi="Calibri"/>
        </w:rPr>
      </w:pPr>
      <w:r>
        <w:rPr>
          <w:rFonts w:asciiTheme="majorHAnsi" w:hAnsiTheme="majorHAnsi" w:cstheme="majorHAnsi"/>
          <w:u w:val="single"/>
        </w:rPr>
        <w:t xml:space="preserve">Consigne </w:t>
      </w:r>
      <w:r>
        <w:rPr>
          <w:rFonts w:asciiTheme="majorHAnsi" w:hAnsiTheme="majorHAnsi" w:cstheme="majorHAnsi"/>
        </w:rPr>
        <w:t xml:space="preserve">: </w:t>
      </w:r>
      <w:r>
        <w:rPr>
          <w:rFonts w:ascii="Calibri" w:hAnsi="Calibri"/>
          <w:b/>
          <w:bCs/>
        </w:rPr>
        <w:t xml:space="preserve">Interpréter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 xml:space="preserve">l</w:t>
      </w:r>
      <w:r>
        <w:rPr>
          <w:rFonts w:ascii="Calibri" w:hAnsi="Calibri"/>
          <w:b/>
          <w:bCs/>
        </w:rPr>
        <w:t xml:space="preserve">es résultats </w:t>
      </w:r>
      <w:r>
        <w:rPr>
          <w:rFonts w:ascii="Calibri" w:hAnsi="Calibri"/>
          <w:b/>
          <w:bCs/>
        </w:rPr>
        <w:t xml:space="preserve">expérimentaux</w:t>
      </w:r>
      <w:r>
        <w:rPr>
          <w:rFonts w:ascii="Calibri" w:hAnsi="Calibri"/>
        </w:rPr>
        <w:t xml:space="preserve"> afin de</w:t>
      </w:r>
      <w:r>
        <w:rPr>
          <w:rFonts w:ascii="Calibri" w:hAnsi="Calibri"/>
        </w:rPr>
        <w:t xml:space="preserve"> montrer comment l’UT peut avoir un effet contraceptif chez l’homme.</w:t>
      </w:r>
      <w:r>
        <w:rPr>
          <w:rFonts w:ascii="Calibri" w:hAnsi="Calibri"/>
        </w:rPr>
      </w:r>
      <w:r>
        <w:rPr>
          <w:rFonts w:ascii="Calibri" w:hAnsi="Calibri"/>
        </w:rPr>
      </w:r>
    </w:p>
    <w:p w14:paraId="7659BC35" w14:textId="3AC53CAD">
      <w:pPr>
        <w:pBdr/>
        <w:spacing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u w:val="single"/>
        </w:rPr>
        <w:t xml:space="preserve">Document 1</w:t>
      </w:r>
      <w:r>
        <w:rPr>
          <w:rFonts w:asciiTheme="majorHAnsi" w:hAnsiTheme="majorHAnsi" w:cstheme="majorHAnsi"/>
          <w:b/>
        </w:rPr>
        <w:t xml:space="preserve"> : </w:t>
      </w:r>
      <w:r>
        <w:rPr>
          <w:rFonts w:asciiTheme="majorHAnsi" w:hAnsiTheme="majorHAnsi" w:cstheme="majorHAnsi"/>
          <w:b/>
        </w:rPr>
        <w:t xml:space="preserve">Le contrôle hormonal des testicules</w:t>
      </w:r>
      <w:r>
        <w:rPr>
          <w:rFonts w:asciiTheme="majorHAnsi" w:hAnsiTheme="majorHAnsi" w:cstheme="majorHAnsi"/>
          <w:b/>
        </w:rPr>
      </w:r>
      <w:r>
        <w:rPr>
          <w:rFonts w:asciiTheme="majorHAnsi" w:hAnsiTheme="majorHAnsi" w:cstheme="majorHAnsi"/>
          <w:b/>
        </w:rPr>
      </w:r>
    </w:p>
    <w:p w14:paraId="6B96252D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136525</wp:posOffset>
                </wp:positionV>
                <wp:extent cx="4927600" cy="3095625"/>
                <wp:effectExtent l="0" t="0" r="0" b="9525"/>
                <wp:wrapNone/>
                <wp:docPr id="1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27600" cy="3095625"/>
                          <a:chOff x="381000" y="0"/>
                          <a:chExt cx="4927600" cy="3095625"/>
                        </a:xfrm>
                      </wpg:grpSpPr>
                      <wps:wsp>
                        <wps:cNvPr id="70392898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7450" y="2314575"/>
                            <a:ext cx="1581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730289" w14:textId="77777777">
                              <w:pPr>
                                <w:pBdr/>
                                <w:spacing/>
                                <w:ind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  <w:u w:val="single"/>
                                </w:rPr>
                                <w:t xml:space="preserve">Légende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 :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r>
                            </w:p>
                            <w:p w14:paraId="2734F4A6" w14:textId="77777777">
                              <w:pPr>
                                <w:pBdr/>
                                <w:spacing/>
                                <w:ind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+ : Stimulation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r>
                            </w:p>
                            <w:p w14:paraId="359A4498" w14:textId="77777777">
                              <w:pPr>
                                <w:pBdr/>
                                <w:spacing/>
                                <w:ind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1351071" name="Image 1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9"/>
                          <a:stretch/>
                        </pic:blipFill>
                        <pic:spPr bwMode="auto">
                          <a:xfrm>
                            <a:off x="381000" y="0"/>
                            <a:ext cx="320992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0" o:spid="_x0000_s0000" style="position:absolute;z-index:251659264;o:allowoverlap:true;o:allowincell:true;mso-position-horizontal-relative:text;margin-left:73.00pt;mso-position-horizontal:absolute;mso-position-vertical-relative:text;margin-top:10.75pt;mso-position-vertical:absolute;width:388.00pt;height:243.75pt;mso-wrap-distance-left:9.00pt;mso-wrap-distance-top:0.00pt;mso-wrap-distance-right:9.00pt;mso-wrap-distance-bottom:0.00pt;" coordorigin="3810,0" coordsize="49276,30956">
                <v:shape id="shape 1" o:spid="_x0000_s1" o:spt="202" type="#_x0000_t202" style="position:absolute;left:37274;top:23145;width:15811;height:6191;v-text-anchor:top;visibility:visible;" filled="f" stroked="f" strokeweight="0.75pt">
                  <v:textbox inset="0,0,0,0">
                    <w:txbxContent>
                      <w:p w14:paraId="10730289" w14:textId="77777777">
                        <w:pPr>
                          <w:pBdr/>
                          <w:spacing/>
                          <w:ind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  <w:u w:val="single"/>
                          </w:rPr>
                          <w:t xml:space="preserve">Légende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 :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r>
                      </w:p>
                      <w:p w14:paraId="2734F4A6" w14:textId="77777777">
                        <w:pPr>
                          <w:pBdr/>
                          <w:spacing/>
                          <w:ind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+ : Stimulation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r>
                      </w:p>
                      <w:p w14:paraId="359A4498" w14:textId="77777777">
                        <w:pPr>
                          <w:pBdr/>
                          <w:spacing/>
                          <w:ind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" o:spid="_x0000_s2" type="#_x0000_t75" style="position:absolute;left:3810;top:0;width:32099;height:30956;z-index:1;" stroked="f">
                  <v:imagedata r:id="rId9" o:title=""/>
                  <o:lock v:ext="edit" rotation="t"/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7A1D2D26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4C5A0A1C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35429F07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57DB94A0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1DE1AA19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7547511A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4BFF5259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1D06FC92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30143785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12A2B1ED" w14:textId="77777777"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 w14:paraId="069084F4" w14:textId="77777777">
      <w:pPr>
        <w:pBdr/>
        <w:spacing/>
        <w:ind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 w14:paraId="72D27255" w14:textId="03EF29C4">
      <w:pPr>
        <w:pStyle w:val="903"/>
        <w:pBdr/>
        <w:spacing/>
        <w:ind/>
        <w:jc w:val="both"/>
        <w:rPr>
          <w:rFonts w:asciiTheme="majorHAnsi" w:hAnsiTheme="majorHAnsi" w:cstheme="majorHAnsi"/>
        </w:rPr>
      </w:pPr>
      <w:r>
        <w:rPr>
          <w:rFonts w:cstheme="minorHAnsi"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363079</wp:posOffset>
                </wp:positionV>
                <wp:extent cx="6645910" cy="4036695"/>
                <wp:effectExtent l="0" t="0" r="2540" b="1905"/>
                <wp:wrapTight wrapText="bothSides">
                  <wp:wrapPolygon edited="1">
                    <wp:start x="0" y="0"/>
                    <wp:lineTo x="0" y="21508"/>
                    <wp:lineTo x="21546" y="21508"/>
                    <wp:lineTo x="21546" y="0"/>
                    <wp:lineTo x="0" y="0"/>
                  </wp:wrapPolygon>
                </wp:wrapTight>
                <wp:docPr id="2" name="Image 1" descr="Une image contenant texte, diagramme, ligne, Parallèl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33425" name="Image 1" descr="Une image contenant texte, diagramme, ligne, Parallèle&#10;&#10;Le contenu généré par l’IA peut être incorrect.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0" t="6289" r="0" b="0"/>
                        <a:stretch/>
                      </pic:blipFill>
                      <pic:spPr bwMode="auto">
                        <a:xfrm>
                          <a:off x="0" y="0"/>
                          <a:ext cx="6645910" cy="40366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-251660288;o:allowoverlap:true;o:allowincell:true;mso-position-horizontal-relative:text;margin-left:4.00pt;mso-position-horizontal:absolute;mso-position-vertical-relative:text;margin-top:28.59pt;mso-position-vertical:absolute;width:523.30pt;height:317.85pt;mso-wrap-distance-left:9.00pt;mso-wrap-distance-top:0.00pt;mso-wrap-distance-right:9.00pt;mso-wrap-distance-bottom:0.00pt;z-index:1;" wrapcoords="0 0 0 99574 99750 99574 99750 0 0 0" stroked="f">
                <w10:wrap type="tight"/>
                <v:imagedata r:id="rId10" o:title="" croptop="4122f" cropleft="0f" cropbottom="0f" cropright="0f"/>
                <o:lock v:ext="edit" rotation="t"/>
              </v:shape>
            </w:pict>
          </mc:Fallback>
        </mc:AlternateContent>
      </w:r>
      <w:r>
        <w:rPr>
          <w:rFonts w:cstheme="minorHAnsi"/>
          <w:u w:val="single"/>
        </w:rPr>
        <w:t xml:space="preserve">Document </w:t>
      </w:r>
      <w:r>
        <w:rPr>
          <w:rFonts w:cstheme="minorHAnsi"/>
          <w:u w:val="single"/>
        </w:rPr>
        <w:t xml:space="preserve">2</w:t>
      </w:r>
      <w:r>
        <w:rPr>
          <w:rFonts w:cstheme="minorHAnsi"/>
        </w:rPr>
        <w:t xml:space="preserve"> 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cstheme="minorHAnsi"/>
        </w:rPr>
        <w:t xml:space="preserve">Effet de la prise d’un contraceptif</w:t>
      </w:r>
      <w:r>
        <w:rPr>
          <w:rFonts w:cstheme="minorHAnsi"/>
        </w:rPr>
        <w:t xml:space="preserve"> masculin sur la production de FSH</w: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2D7179E5" w14:textId="77777777">
      <w:pPr>
        <w:pStyle w:val="900"/>
        <w:pBdr/>
        <w:spacing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3E5916F8" w14:textId="77777777">
      <w:pPr>
        <w:pBdr/>
        <w:spacing/>
        <w:ind/>
        <w:jc w:val="both"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  <w:r>
        <w:rPr>
          <w:b/>
          <w:color w:val="00b0f0"/>
        </w:rPr>
      </w:r>
    </w:p>
    <w:p w14:paraId="276FD161" w14:textId="77777777">
      <w:pPr>
        <w:pBdr/>
        <w:spacing/>
        <w:ind/>
        <w:jc w:val="both"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  <w:r>
        <w:rPr>
          <w:b/>
          <w:color w:val="00b0f0"/>
        </w:rPr>
      </w:r>
    </w:p>
    <w:p w14:paraId="77D2A0AD" w14:textId="77777777">
      <w:pPr>
        <w:pBdr/>
        <w:spacing/>
        <w:ind/>
        <w:jc w:val="both"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  <w:r>
        <w:rPr>
          <w:b/>
          <w:color w:val="00b0f0"/>
        </w:rPr>
      </w:r>
    </w:p>
    <w:p w14:paraId="64191CEA" w14:textId="77777777">
      <w:pPr>
        <w:pBdr/>
        <w:spacing/>
        <w:ind/>
        <w:jc w:val="both"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  <w:r>
        <w:rPr>
          <w:b/>
          <w:color w:val="00b0f0"/>
        </w:rPr>
      </w:r>
    </w:p>
    <w:p w14:paraId="21D904C9" w14:textId="77777777">
      <w:pPr>
        <w:pBdr/>
        <w:spacing/>
        <w:ind/>
        <w:jc w:val="both"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  <w:r>
        <w:rPr>
          <w:b/>
          <w:color w:val="00b0f0"/>
        </w:rPr>
      </w:r>
    </w:p>
    <w:p w14:paraId="3F10D99C" w14:textId="3277327F">
      <w:pPr>
        <w:pBdr/>
        <w:spacing/>
        <w:ind/>
        <w:jc w:val="both"/>
        <w:rPr/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/>
    </w:p>
    <w:p w14:paraId="781B29CD" w14:textId="77777777">
      <w:pPr>
        <w:pBdr/>
        <w:spacing/>
        <w:ind/>
        <w:jc w:val="both"/>
        <w:rPr>
          <w:b/>
        </w:rPr>
      </w:pPr>
      <w:r>
        <w:rPr>
          <w:b/>
        </w:rPr>
        <w:t xml:space="preserve">Interpréter des résultats et en tirer des conclusions</w:t>
      </w:r>
      <w:r>
        <w:rPr>
          <w:b/>
        </w:rPr>
      </w:r>
      <w:r>
        <w:rPr>
          <w:b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>
        <w:trPr>
          <w:trHeight w:val="392"/>
        </w:trPr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51F9129" w14:textId="77777777"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  <w:p w14:paraId="6710BD1D" w14:textId="77777777"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+/-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0833FEF8" w14:textId="77777777"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Evaluation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38C82551" w14:textId="77777777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 xml:space="preserve">: </w:t>
            </w:r>
            <w:r>
              <w:rPr>
                <w14:ligatures w14:val="standardContextual"/>
              </w:rPr>
              <w:t xml:space="preserve">Mon interprétation permet</w:t>
            </w:r>
            <w:r>
              <w:rPr>
                <w14:ligatures w14:val="standardContextual"/>
              </w:rPr>
              <w:t xml:space="preserve"> de </w:t>
            </w:r>
            <w:r>
              <w:rPr>
                <w:b/>
                <w14:ligatures w14:val="standardContextual"/>
              </w:rPr>
              <w:t xml:space="preserve">valider ou de réfuter l’hypothèse testée</w:t>
            </w:r>
            <w:r>
              <w:rPr>
                <w14:ligatures w14:val="standardContextual"/>
              </w:rPr>
              <w:t xml:space="preserve"> et donc de répondre au problème </w:t>
            </w:r>
            <w:r>
              <w:rPr>
                <w14:ligatures w14:val="standardContextual"/>
              </w:rPr>
              <w:t xml:space="preserve">posé.</w: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714C54C9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5B76B196" w14:textId="77777777">
            <w:pPr>
              <w:pStyle w:val="904"/>
              <w:pBdr/>
              <w:tabs>
                <w:tab w:val="left" w:leader="none" w:pos="805"/>
              </w:tabs>
              <w:spacing w:line="260" w:lineRule="exact"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Mon interprétation précise : </w: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  <w:p w14:paraId="7387BDBA" w14:textId="77777777">
            <w:pPr>
              <w:pStyle w:val="904"/>
              <w:pBdr/>
              <w:tabs>
                <w:tab w:val="left" w:leader="none" w:pos="805"/>
              </w:tabs>
              <w:spacing w:line="260" w:lineRule="exact"/>
              <w:ind/>
              <w:jc w:val="both"/>
              <w:rPr/>
            </w:pPr>
            <w:r>
              <w:rPr>
                <w:rFonts w:cstheme="minorHAnsi"/>
              </w:rPr>
              <w:t xml:space="preserve">- </w:t>
            </w:r>
            <w:r>
              <w:rPr>
                <w:b/>
              </w:rPr>
              <w:t xml:space="preserve">«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observe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5"/>
              </w:rPr>
              <w:t xml:space="preserve"> : </w:t>
            </w:r>
            <w:r>
              <w:t xml:space="preserve">présentation</w:t>
            </w:r>
            <w:r>
              <w:rPr>
                <w:spacing w:val="-6"/>
              </w:rPr>
              <w:t xml:space="preserve"> </w:t>
            </w:r>
            <w:r>
              <w:t xml:space="preserve">de</w:t>
            </w:r>
            <w:r>
              <w:rPr>
                <w:spacing w:val="-6"/>
              </w:rPr>
              <w:t xml:space="preserve"> </w:t>
            </w:r>
            <w:r>
              <w:t xml:space="preserve">l’ensemble</w:t>
            </w:r>
            <w:r>
              <w:rPr>
                <w:spacing w:val="-5"/>
              </w:rPr>
              <w:t xml:space="preserve"> </w:t>
            </w:r>
            <w:r>
              <w:t xml:space="preserve">des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résultats.</w:t>
            </w:r>
            <w:r/>
          </w:p>
          <w:p w14:paraId="39867A89" w14:textId="77777777">
            <w:pPr>
              <w:pStyle w:val="904"/>
              <w:pBdr/>
              <w:tabs>
                <w:tab w:val="left" w:leader="none" w:pos="805"/>
              </w:tabs>
              <w:spacing w:before="2" w:line="232" w:lineRule="auto"/>
              <w:ind w:right="82"/>
              <w:jc w:val="both"/>
              <w:rPr/>
            </w:pPr>
            <w:r>
              <w:rPr>
                <w:b/>
              </w:rPr>
              <w:t xml:space="preserve">- «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sait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5"/>
              </w:rPr>
              <w:t xml:space="preserve"> : </w:t>
            </w:r>
            <w:r>
              <w:t xml:space="preserve">ajout</w:t>
            </w:r>
            <w:r>
              <w:rPr>
                <w:spacing w:val="-5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notions</w:t>
            </w:r>
            <w:r>
              <w:rPr>
                <w:spacing w:val="-5"/>
              </w:rPr>
              <w:t xml:space="preserve"> </w:t>
            </w:r>
            <w:r>
              <w:t xml:space="preserve">issues</w:t>
            </w:r>
            <w:r>
              <w:rPr>
                <w:spacing w:val="-5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connaissances/ressources</w:t>
            </w:r>
            <w:r>
              <w:rPr>
                <w:spacing w:val="-5"/>
              </w:rPr>
              <w:t xml:space="preserve"> </w:t>
            </w:r>
            <w:r>
              <w:t xml:space="preserve">et/ou</w:t>
            </w:r>
            <w:r>
              <w:rPr>
                <w:spacing w:val="-5"/>
              </w:rPr>
              <w:t xml:space="preserve"> </w:t>
            </w:r>
            <w:r>
              <w:t xml:space="preserve">mise</w:t>
            </w:r>
            <w:r>
              <w:rPr>
                <w:spacing w:val="-5"/>
              </w:rPr>
              <w:t xml:space="preserve"> </w:t>
            </w:r>
            <w:r>
              <w:t xml:space="preserve">en</w:t>
            </w:r>
            <w:r>
              <w:rPr>
                <w:spacing w:val="-5"/>
              </w:rPr>
              <w:t xml:space="preserve"> </w:t>
            </w:r>
            <w:r>
              <w:t xml:space="preserve">situation, adaptées à l’interprétation.</w:t>
            </w:r>
            <w:r/>
          </w:p>
          <w:p w14:paraId="7717BE3F" w14:textId="77777777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b/>
              </w:rPr>
              <w:t xml:space="preserve">- «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conclut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3"/>
              </w:rPr>
              <w:t xml:space="preserve"> : </w:t>
            </w:r>
            <w:r>
              <w:t xml:space="preserve">mise</w:t>
            </w:r>
            <w:r>
              <w:rPr>
                <w:spacing w:val="-5"/>
              </w:rPr>
              <w:t xml:space="preserve"> </w:t>
            </w:r>
            <w:r>
              <w:t xml:space="preserve">en</w:t>
            </w:r>
            <w:r>
              <w:rPr>
                <w:spacing w:val="-4"/>
              </w:rPr>
              <w:t xml:space="preserve"> </w:t>
            </w:r>
            <w:r>
              <w:t xml:space="preserve">relation</w:t>
            </w:r>
            <w:r>
              <w:rPr>
                <w:spacing w:val="-4"/>
              </w:rPr>
              <w:t xml:space="preserve"> </w:t>
            </w:r>
            <w:r>
              <w:t xml:space="preserve">des</w:t>
            </w:r>
            <w:r>
              <w:rPr>
                <w:spacing w:val="-3"/>
              </w:rPr>
              <w:t xml:space="preserve"> </w:t>
            </w:r>
            <w:r>
              <w:t xml:space="preserve">résultats</w:t>
            </w:r>
            <w:r>
              <w:rPr>
                <w:spacing w:val="-4"/>
              </w:rPr>
              <w:t xml:space="preserve"> </w:t>
            </w:r>
            <w:r>
              <w:t xml:space="preserve">et</w:t>
            </w:r>
            <w:r>
              <w:rPr>
                <w:spacing w:val="-3"/>
              </w:rPr>
              <w:t xml:space="preserve"> </w:t>
            </w:r>
            <w:r>
              <w:t xml:space="preserve">des</w:t>
            </w:r>
            <w:r>
              <w:rPr>
                <w:spacing w:val="-4"/>
              </w:rPr>
              <w:t xml:space="preserve"> </w:t>
            </w:r>
            <w:r>
              <w:t xml:space="preserve">notions</w:t>
            </w:r>
            <w:r>
              <w:rPr>
                <w:spacing w:val="-3"/>
              </w:rPr>
              <w:t xml:space="preserve"> </w:t>
            </w:r>
            <w:r>
              <w:t xml:space="preserve">pour</w:t>
            </w:r>
            <w:r>
              <w:rPr>
                <w:spacing w:val="-3"/>
              </w:rPr>
              <w:t xml:space="preserve"> </w:t>
            </w:r>
            <w:r>
              <w:t xml:space="preserve">répondre</w:t>
            </w:r>
            <w:r>
              <w:rPr>
                <w:spacing w:val="-4"/>
              </w:rPr>
              <w:t xml:space="preserve"> </w:t>
            </w:r>
            <w:r>
              <w:t xml:space="preserve">au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problème.</w: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64EA66FA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11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5BDE1A70" w14:textId="77777777">
            <w:pPr>
              <w:pStyle w:val="904"/>
              <w:pBdr/>
              <w:spacing/>
              <w:ind w:left="85"/>
              <w:jc w:val="both"/>
              <w:rPr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EXACTITUDE</w:t>
            </w:r>
            <w:r>
              <w:rPr>
                <w:rFonts w:asciiTheme="minorHAnsi" w:hAnsiTheme="minorHAnsi" w:cstheme="minorHAnsi"/>
                <w:u w:val="single"/>
              </w:rPr>
              <w:t xml:space="preserve"> 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 xml:space="preserve">Je</w:t>
            </w:r>
            <w:r>
              <w:rPr>
                <w:spacing w:val="-2"/>
              </w:rPr>
              <w:t xml:space="preserve"> </w:t>
            </w:r>
            <w:r>
              <w:t xml:space="preserve"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 xml:space="preserve">rigoureux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72A92B74" w14:textId="77777777">
            <w:pPr>
              <w:pStyle w:val="904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jc w:val="both"/>
              <w:rPr/>
            </w:pPr>
            <w:r>
              <w:t xml:space="preserve">quantification</w:t>
            </w:r>
            <w:r>
              <w:rPr>
                <w:spacing w:val="-6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données</w:t>
            </w:r>
            <w:r>
              <w:rPr>
                <w:spacing w:val="-5"/>
              </w:rPr>
              <w:t xml:space="preserve"> </w:t>
            </w:r>
            <w:r>
              <w:t xml:space="preserve"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possible.</w:t>
            </w:r>
            <w:r/>
          </w:p>
          <w:p w14:paraId="5EF4E924" w14:textId="77777777">
            <w:pPr>
              <w:pStyle w:val="904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jc w:val="both"/>
              <w:rPr/>
            </w:pPr>
            <w:r>
              <w:t xml:space="preserve">vocabulaire</w:t>
            </w:r>
            <w:r>
              <w:rPr>
                <w:spacing w:val="-7"/>
              </w:rPr>
              <w:t xml:space="preserve"> </w:t>
            </w:r>
            <w:r>
              <w:t xml:space="preserve">scientifique</w:t>
            </w:r>
            <w:r>
              <w:rPr>
                <w:spacing w:val="-7"/>
              </w:rPr>
              <w:t xml:space="preserve"> </w:t>
            </w:r>
            <w:r>
              <w:t xml:space="preserve">exact</w:t>
            </w:r>
            <w:r>
              <w:rPr>
                <w:spacing w:val="-7"/>
              </w:rPr>
              <w:t xml:space="preserve"> </w:t>
            </w:r>
            <w:r>
              <w:t xml:space="preserve"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précis.</w:t>
            </w:r>
            <w:r/>
          </w:p>
          <w:p w14:paraId="74A0E869" w14:textId="77777777">
            <w:pPr>
              <w:pStyle w:val="904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jc w:val="both"/>
              <w:rPr>
                <w:rFonts w:asciiTheme="minorHAnsi" w:hAnsiTheme="minorHAnsi" w:cstheme="minorHAnsi"/>
              </w:rPr>
            </w:pPr>
            <w:r>
              <w:t xml:space="preserve">sans</w:t>
            </w:r>
            <w:r>
              <w:rPr>
                <w:spacing w:val="-5"/>
              </w:rPr>
              <w:t xml:space="preserve"> </w:t>
            </w:r>
            <w:r>
              <w:t xml:space="preserve">déformation</w:t>
            </w:r>
            <w:r>
              <w:rPr>
                <w:spacing w:val="-3"/>
              </w:rPr>
              <w:t xml:space="preserve"> </w:t>
            </w:r>
            <w:r>
              <w:t xml:space="preserve">ni</w:t>
            </w:r>
            <w:r>
              <w:rPr>
                <w:spacing w:val="-4"/>
              </w:rPr>
              <w:t xml:space="preserve"> </w:t>
            </w:r>
            <w:r>
              <w:t xml:space="preserve">erreur</w:t>
            </w:r>
            <w:r>
              <w:rPr>
                <w:spacing w:val="-4"/>
              </w:rPr>
              <w:t xml:space="preserve"> </w:t>
            </w:r>
            <w:r>
              <w:t xml:space="preserve"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lecture.</w: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5C00F848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73FAD318" w14:textId="77777777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</w:t>
            </w:r>
            <w:r>
              <w:rPr>
                <w:rFonts w:cstheme="minorHAnsi"/>
                <w:u w:val="single"/>
              </w:rPr>
              <w:t xml:space="preserve"> </w:t>
            </w:r>
            <w:r>
              <w:t xml:space="preserve"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 xml:space="preserve">structuré</w:t>
            </w:r>
            <w:r>
              <w:rPr>
                <w:b/>
                <w:spacing w:val="-5"/>
              </w:rPr>
              <w:t xml:space="preserve"> </w:t>
            </w:r>
            <w:r>
              <w:t xml:space="preserve">mon</w:t>
            </w:r>
            <w:r>
              <w:rPr>
                <w:spacing w:val="-3"/>
              </w:rPr>
              <w:t xml:space="preserve"> </w:t>
            </w:r>
            <w:r>
              <w:t xml:space="preserve">écrit</w:t>
            </w:r>
            <w:r>
              <w:rPr>
                <w:spacing w:val="-4"/>
              </w:rPr>
              <w:t xml:space="preserve"> </w:t>
            </w:r>
            <w:r>
              <w:t xml:space="preserve">afin</w:t>
            </w:r>
            <w:r>
              <w:rPr>
                <w:spacing w:val="-4"/>
              </w:rPr>
              <w:t xml:space="preserve"> </w:t>
            </w:r>
            <w:r>
              <w:t xml:space="preserve">de</w:t>
            </w:r>
            <w:r>
              <w:rPr>
                <w:spacing w:val="-4"/>
              </w:rPr>
              <w:t xml:space="preserve"> </w:t>
            </w:r>
            <w:r>
              <w:t xml:space="preserve">faciliter</w:t>
            </w:r>
            <w:r>
              <w:rPr>
                <w:spacing w:val="-4"/>
              </w:rPr>
              <w:t xml:space="preserve"> </w:t>
            </w:r>
            <w:r>
              <w:t xml:space="preserve">sa</w:t>
            </w:r>
            <w:r>
              <w:rPr>
                <w:spacing w:val="-3"/>
              </w:rPr>
              <w:t xml:space="preserve"> </w:t>
            </w:r>
            <w:r>
              <w:t xml:space="preserve">lecture</w:t>
            </w:r>
            <w:r>
              <w:rPr>
                <w:spacing w:val="-4"/>
              </w:rPr>
              <w:t xml:space="preserve"> </w:t>
            </w:r>
            <w:r>
              <w:t xml:space="preserve">et</w:t>
            </w:r>
            <w:r>
              <w:rPr>
                <w:spacing w:val="-4"/>
              </w:rPr>
              <w:t xml:space="preserve"> </w:t>
            </w:r>
            <w:r>
              <w:t xml:space="preserve"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compréhension : j’ai mis en relation les 3 parties de mon interprétation par des connecteurs logiques.</w: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78813C79" w14:textId="77777777">
            <w:pPr>
              <w:pBdr/>
              <w:spacing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 w14:paraId="5BF0D225" w14:textId="77777777">
      <w:pPr>
        <w:pBdr/>
        <w:spacing/>
        <w:ind/>
        <w:jc w:val="both"/>
        <w:rPr/>
      </w:pPr>
      <w:r/>
      <w:r/>
    </w:p>
    <w:p w14:paraId="55F8B36C" w14:textId="77777777">
      <w:pPr>
        <w:pBdr/>
        <w:spacing/>
        <w:ind/>
        <w:jc w:val="both"/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  <w:t xml:space="preserve">Activités complémentaires possibles :</w:t>
      </w:r>
      <w:r>
        <w:rPr>
          <w:rFonts w:cstheme="minorHAnsi"/>
          <w:b/>
          <w:color w:val="00b0f0"/>
        </w:rPr>
      </w:r>
      <w:r>
        <w:rPr>
          <w:rFonts w:cstheme="minorHAnsi"/>
          <w:b/>
          <w:color w:val="00b0f0"/>
        </w:rPr>
      </w:r>
    </w:p>
    <w:p w14:paraId="1358943A" w14:textId="77777777">
      <w:pPr>
        <w:pStyle w:val="900"/>
        <w:numPr>
          <w:ilvl w:val="0"/>
          <w:numId w:val="5"/>
        </w:numPr>
        <w:pBdr/>
        <w:spacing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Différenciation possible</w:t>
      </w:r>
      <w:r>
        <w:rPr>
          <w:rFonts w:asciiTheme="majorHAnsi" w:hAnsiTheme="majorHAnsi" w:cstheme="majorHAnsi"/>
        </w:rPr>
        <w:t xml:space="preserve"> : évaluation sur les notions travaillées dans l’activité ou construction d’un texte argumenté</w: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6FFE1C4F" w14:textId="49B49F4A">
      <w:pPr>
        <w:pBdr/>
        <w:spacing/>
        <w:ind/>
        <w:jc w:val="both"/>
        <w:rPr>
          <w:color w:val="ff0000"/>
        </w:rPr>
      </w:pPr>
      <w:r>
        <w:rPr>
          <w:b/>
          <w:color w:val="00b0f0"/>
        </w:rPr>
        <w:t xml:space="preserve">ANNEXE</w:t>
      </w:r>
      <w:r>
        <w:rPr>
          <w:b/>
          <w:color w:val="00b0f0"/>
        </w:rPr>
        <w:t xml:space="preserve">S</w:t>
      </w:r>
      <w:r>
        <w:rPr>
          <w:b/>
          <w:color w:val="00b0f0"/>
        </w:rPr>
        <w:t xml:space="preserve"> </w:t>
      </w:r>
      <w:r>
        <w:t xml:space="preserve">:</w:t>
      </w:r>
      <w:r>
        <w:t xml:space="preserve"> </w:t>
      </w:r>
      <w:r>
        <w:rPr>
          <w:color w:val="ff0000"/>
        </w:rPr>
      </w:r>
      <w:r>
        <w:rPr>
          <w:color w:val="ff0000"/>
        </w:rPr>
      </w:r>
    </w:p>
    <w:p w14:paraId="7D66BF45" w14:textId="77777777">
      <w:pPr>
        <w:pBdr/>
        <w:spacing/>
        <w:ind/>
        <w:jc w:val="both"/>
        <w:rPr/>
      </w:pPr>
      <w:r>
        <w:rPr>
          <w:b/>
          <w:bCs/>
          <w:u w:val="single"/>
        </w:rPr>
        <w:t xml:space="preserve">Indicateurs de correction</w:t>
      </w:r>
      <w:r>
        <w:t xml:space="preserve"> :</w:t>
      </w:r>
      <w:r/>
    </w:p>
    <w:p w14:paraId="69C4A6A3" w14:textId="77777777">
      <w:pPr>
        <w:pBdr/>
        <w:spacing/>
        <w:ind/>
        <w:jc w:val="both"/>
        <w:rPr/>
      </w:pPr>
      <w:r>
        <w:rPr>
          <w:u w:val="single"/>
        </w:rPr>
        <w:t xml:space="preserve">On voit</w:t>
      </w:r>
      <w:r>
        <w:t xml:space="preserve"> : En phase de traitement le taux de FSH chute chez l’individu traité mais reste constant chez l’individu ne recevant pas d’injections. Des valeurs chiffrées sont attendues.</w:t>
      </w:r>
      <w:r/>
    </w:p>
    <w:p w14:paraId="38399CB3" w14:textId="77777777">
      <w:pPr>
        <w:pBdr/>
        <w:spacing/>
        <w:ind/>
        <w:jc w:val="both"/>
        <w:rPr/>
      </w:pPr>
      <w:r>
        <w:rPr>
          <w:u w:val="single"/>
        </w:rPr>
        <w:t xml:space="preserve">On sait que</w:t>
      </w:r>
      <w:r>
        <w:t xml:space="preserve"> : La FSH, produite par l’hypophyse, stimule la production de spermatozoïdes.</w:t>
      </w:r>
      <w:r/>
    </w:p>
    <w:p w14:paraId="153D3E92" w14:textId="77777777">
      <w:pPr>
        <w:pBdr/>
        <w:spacing/>
        <w:ind/>
        <w:jc w:val="both"/>
        <w:rPr/>
      </w:pPr>
      <w:r>
        <w:rPr>
          <w:u w:val="single"/>
        </w:rPr>
        <w:t xml:space="preserve">On conclut</w:t>
      </w:r>
      <w:r>
        <w:t xml:space="preserve"> : L’UT inhibe la production de FSH ce qui empêche la production de spermatozoïde. Ceci explique l’effet contraceptif de l’UT. </w:t>
      </w:r>
      <w:r/>
    </w:p>
    <w:p w14:paraId="5A976767" w14:textId="77777777">
      <w:pPr>
        <w:pBdr/>
        <w:spacing/>
        <w:ind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0BD01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3">
    <w:name w:val="Table Grid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Table Grid Light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1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2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3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5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6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896"/>
    <w:next w:val="896"/>
    <w:link w:val="84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0">
    <w:name w:val="Heading 2"/>
    <w:basedOn w:val="896"/>
    <w:next w:val="896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6"/>
    <w:next w:val="896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6"/>
    <w:next w:val="896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6"/>
    <w:next w:val="896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6"/>
    <w:next w:val="896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6"/>
    <w:next w:val="896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6"/>
    <w:next w:val="896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6"/>
    <w:next w:val="896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1 Char"/>
    <w:basedOn w:val="897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9">
    <w:name w:val="Heading 2 Char"/>
    <w:basedOn w:val="897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0">
    <w:name w:val="Heading 3 Char"/>
    <w:basedOn w:val="897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1">
    <w:name w:val="Heading 4 Char"/>
    <w:basedOn w:val="897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2">
    <w:name w:val="Heading 5 Char"/>
    <w:basedOn w:val="897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3">
    <w:name w:val="Heading 6 Char"/>
    <w:basedOn w:val="897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7 Char"/>
    <w:basedOn w:val="897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>
    <w:name w:val="Heading 8 Char"/>
    <w:basedOn w:val="897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9 Char"/>
    <w:basedOn w:val="897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896"/>
    <w:next w:val="896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>
    <w:name w:val="Title Char"/>
    <w:basedOn w:val="897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896"/>
    <w:next w:val="896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>
    <w:name w:val="Subtitle Char"/>
    <w:basedOn w:val="897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896"/>
    <w:next w:val="896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>
    <w:name w:val="Quote Char"/>
    <w:basedOn w:val="897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4">
    <w:name w:val="Intense Quote"/>
    <w:basedOn w:val="896"/>
    <w:next w:val="896"/>
    <w:link w:val="86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5">
    <w:name w:val="Intense Quote Char"/>
    <w:basedOn w:val="897"/>
    <w:link w:val="8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6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7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8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869">
    <w:name w:val="Strong"/>
    <w:basedOn w:val="897"/>
    <w:uiPriority w:val="22"/>
    <w:qFormat/>
    <w:pPr>
      <w:pBdr/>
      <w:spacing/>
      <w:ind/>
    </w:pPr>
    <w:rPr>
      <w:b/>
      <w:bCs/>
    </w:rPr>
  </w:style>
  <w:style w:type="character" w:styleId="870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1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2">
    <w:name w:val="Header"/>
    <w:basedOn w:val="896"/>
    <w:link w:val="87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3">
    <w:name w:val="Header Char"/>
    <w:basedOn w:val="897"/>
    <w:link w:val="872"/>
    <w:uiPriority w:val="99"/>
    <w:pPr>
      <w:pBdr/>
      <w:spacing/>
      <w:ind/>
    </w:pPr>
  </w:style>
  <w:style w:type="paragraph" w:styleId="874">
    <w:name w:val="Footer"/>
    <w:basedOn w:val="896"/>
    <w:link w:val="87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5">
    <w:name w:val="Footer Char"/>
    <w:basedOn w:val="897"/>
    <w:link w:val="874"/>
    <w:uiPriority w:val="99"/>
    <w:pPr>
      <w:pBdr/>
      <w:spacing/>
      <w:ind/>
    </w:pPr>
  </w:style>
  <w:style w:type="paragraph" w:styleId="876">
    <w:name w:val="Caption"/>
    <w:basedOn w:val="896"/>
    <w:next w:val="89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7">
    <w:name w:val="footnote text"/>
    <w:basedOn w:val="896"/>
    <w:link w:val="8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8">
    <w:name w:val="Footnote Text Char"/>
    <w:basedOn w:val="897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foot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endnote text"/>
    <w:basedOn w:val="896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Endnote Text Char"/>
    <w:basedOn w:val="897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end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character" w:styleId="883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6"/>
    <w:next w:val="896"/>
    <w:uiPriority w:val="39"/>
    <w:unhideWhenUsed/>
    <w:pPr>
      <w:pBdr/>
      <w:spacing w:after="100"/>
      <w:ind/>
    </w:pPr>
  </w:style>
  <w:style w:type="paragraph" w:styleId="885">
    <w:name w:val="toc 2"/>
    <w:basedOn w:val="896"/>
    <w:next w:val="896"/>
    <w:uiPriority w:val="39"/>
    <w:unhideWhenUsed/>
    <w:pPr>
      <w:pBdr/>
      <w:spacing w:after="100"/>
      <w:ind w:left="220"/>
    </w:pPr>
  </w:style>
  <w:style w:type="paragraph" w:styleId="886">
    <w:name w:val="toc 3"/>
    <w:basedOn w:val="896"/>
    <w:next w:val="896"/>
    <w:uiPriority w:val="39"/>
    <w:unhideWhenUsed/>
    <w:pPr>
      <w:pBdr/>
      <w:spacing w:after="100"/>
      <w:ind w:left="440"/>
    </w:pPr>
  </w:style>
  <w:style w:type="paragraph" w:styleId="887">
    <w:name w:val="toc 4"/>
    <w:basedOn w:val="896"/>
    <w:next w:val="896"/>
    <w:uiPriority w:val="39"/>
    <w:unhideWhenUsed/>
    <w:pPr>
      <w:pBdr/>
      <w:spacing w:after="100"/>
      <w:ind w:left="660"/>
    </w:pPr>
  </w:style>
  <w:style w:type="paragraph" w:styleId="888">
    <w:name w:val="toc 5"/>
    <w:basedOn w:val="896"/>
    <w:next w:val="896"/>
    <w:uiPriority w:val="39"/>
    <w:unhideWhenUsed/>
    <w:pPr>
      <w:pBdr/>
      <w:spacing w:after="100"/>
      <w:ind w:left="880"/>
    </w:pPr>
  </w:style>
  <w:style w:type="paragraph" w:styleId="889">
    <w:name w:val="toc 6"/>
    <w:basedOn w:val="896"/>
    <w:next w:val="896"/>
    <w:uiPriority w:val="39"/>
    <w:unhideWhenUsed/>
    <w:pPr>
      <w:pBdr/>
      <w:spacing w:after="100"/>
      <w:ind w:left="1100"/>
    </w:pPr>
  </w:style>
  <w:style w:type="paragraph" w:styleId="890">
    <w:name w:val="toc 7"/>
    <w:basedOn w:val="896"/>
    <w:next w:val="896"/>
    <w:uiPriority w:val="39"/>
    <w:unhideWhenUsed/>
    <w:pPr>
      <w:pBdr/>
      <w:spacing w:after="100"/>
      <w:ind w:left="1320"/>
    </w:pPr>
  </w:style>
  <w:style w:type="paragraph" w:styleId="891">
    <w:name w:val="toc 8"/>
    <w:basedOn w:val="896"/>
    <w:next w:val="896"/>
    <w:uiPriority w:val="39"/>
    <w:unhideWhenUsed/>
    <w:pPr>
      <w:pBdr/>
      <w:spacing w:after="100"/>
      <w:ind w:left="1540"/>
    </w:pPr>
  </w:style>
  <w:style w:type="paragraph" w:styleId="892">
    <w:name w:val="toc 9"/>
    <w:basedOn w:val="896"/>
    <w:next w:val="896"/>
    <w:uiPriority w:val="39"/>
    <w:unhideWhenUsed/>
    <w:pPr>
      <w:pBdr/>
      <w:spacing w:after="100"/>
      <w:ind w:left="1760"/>
    </w:pPr>
  </w:style>
  <w:style w:type="character" w:styleId="893">
    <w:name w:val="Placeholder Text"/>
    <w:basedOn w:val="897"/>
    <w:uiPriority w:val="99"/>
    <w:semiHidden/>
    <w:pPr>
      <w:pBdr/>
      <w:spacing/>
      <w:ind/>
    </w:pPr>
    <w:rPr>
      <w:color w:val="666666"/>
    </w:rPr>
  </w:style>
  <w:style w:type="paragraph" w:styleId="894">
    <w:name w:val="TOC Heading"/>
    <w:uiPriority w:val="39"/>
    <w:unhideWhenUsed/>
    <w:pPr>
      <w:pBdr/>
      <w:spacing/>
      <w:ind/>
    </w:pPr>
  </w:style>
  <w:style w:type="paragraph" w:styleId="895">
    <w:name w:val="table of figures"/>
    <w:basedOn w:val="896"/>
    <w:next w:val="896"/>
    <w:uiPriority w:val="99"/>
    <w:unhideWhenUsed/>
    <w:pPr>
      <w:pBdr/>
      <w:spacing w:after="0" w:afterAutospacing="0"/>
      <w:ind/>
    </w:pPr>
  </w:style>
  <w:style w:type="paragraph" w:styleId="896" w:default="1">
    <w:name w:val="Normal"/>
    <w:qFormat/>
    <w:pPr>
      <w:pBdr/>
      <w:spacing/>
      <w:ind/>
    </w:pPr>
  </w:style>
  <w:style w:type="character" w:styleId="897" w:default="1">
    <w:name w:val="Default Paragraph Font"/>
    <w:uiPriority w:val="1"/>
    <w:semiHidden/>
    <w:unhideWhenUsed/>
    <w:pPr>
      <w:pBdr/>
      <w:spacing/>
      <w:ind/>
    </w:pPr>
  </w:style>
  <w:style w:type="table" w:styleId="89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9" w:default="1">
    <w:name w:val="No List"/>
    <w:uiPriority w:val="99"/>
    <w:semiHidden/>
    <w:unhideWhenUsed/>
    <w:pPr>
      <w:pBdr/>
      <w:spacing/>
      <w:ind/>
    </w:pPr>
  </w:style>
  <w:style w:type="paragraph" w:styleId="900">
    <w:name w:val="List Paragraph"/>
    <w:basedOn w:val="896"/>
    <w:uiPriority w:val="34"/>
    <w:qFormat/>
    <w:pPr>
      <w:pBdr/>
      <w:spacing/>
      <w:ind w:left="720"/>
      <w:contextualSpacing w:val="true"/>
    </w:pPr>
  </w:style>
  <w:style w:type="character" w:styleId="901">
    <w:name w:val="Hyperlink"/>
    <w:basedOn w:val="89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2">
    <w:name w:val="Unresolved Mention"/>
    <w:basedOn w:val="89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03">
    <w:name w:val="No Spacing"/>
    <w:uiPriority w:val="1"/>
    <w:qFormat/>
    <w:pPr>
      <w:pBdr/>
      <w:spacing w:after="0" w:line="240" w:lineRule="auto"/>
      <w:ind/>
    </w:pPr>
  </w:style>
  <w:style w:type="paragraph" w:styleId="904" w:customStyle="1">
    <w:name w:val="Table Paragraph"/>
    <w:basedOn w:val="896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</w:rPr>
  </w:style>
  <w:style w:type="paragraph" w:styleId="905" w:customStyle="1">
    <w:name w:val="p1"/>
    <w:basedOn w:val="896"/>
    <w:pPr>
      <w:pBdr/>
      <w:spacing w:after="0" w:line="240" w:lineRule="auto"/>
      <w:ind/>
    </w:pPr>
    <w:rPr>
      <w:rFonts w:ascii="Arial" w:hAnsi="Arial" w:eastAsia="Times New Roman" w:cs="Arial"/>
      <w:color w:val="000000"/>
      <w:sz w:val="17"/>
      <w:szCs w:val="17"/>
      <w:lang w:eastAsia="fr-F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4</cp:revision>
  <dcterms:created xsi:type="dcterms:W3CDTF">2026-04-03T12:51:00Z</dcterms:created>
  <dcterms:modified xsi:type="dcterms:W3CDTF">2026-06-29T13:02:49Z</dcterms:modified>
</cp:coreProperties>
</file>