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996DC" w14:textId="77777777" w:rsidR="00355D0F" w:rsidRDefault="00000000">
      <w:pPr>
        <w:jc w:val="center"/>
        <w:rPr>
          <w:b/>
          <w:sz w:val="32"/>
          <w:szCs w:val="32"/>
          <w:u w:val="single"/>
        </w:rPr>
      </w:pPr>
      <w:r>
        <w:rPr>
          <w:b/>
          <w:sz w:val="32"/>
          <w:szCs w:val="32"/>
          <w:u w:val="single"/>
        </w:rPr>
        <w:t xml:space="preserve">Mode d’action d’un contraceptif hormonal féminin </w:t>
      </w:r>
    </w:p>
    <w:p w14:paraId="74DD39E1" w14:textId="77777777" w:rsidR="00355D0F" w:rsidRDefault="00355D0F"/>
    <w:p w14:paraId="66026346" w14:textId="77777777" w:rsidR="00355D0F" w:rsidRDefault="00000000">
      <w:r>
        <w:rPr>
          <w:b/>
          <w:color w:val="00B0F0"/>
        </w:rPr>
        <w:t xml:space="preserve">Niveau de classe </w:t>
      </w:r>
      <w:r>
        <w:t xml:space="preserve">: Seconde </w:t>
      </w:r>
    </w:p>
    <w:p w14:paraId="04A75C0F" w14:textId="77777777" w:rsidR="00355D0F" w:rsidRDefault="00000000">
      <w:pPr>
        <w:jc w:val="both"/>
      </w:pPr>
      <w:r>
        <w:rPr>
          <w:b/>
          <w:color w:val="00B0F0"/>
        </w:rPr>
        <w:t>Notion du BO travaillée</w:t>
      </w:r>
      <w:r>
        <w:rPr>
          <w:color w:val="00B0F0"/>
        </w:rPr>
        <w:t> </w:t>
      </w:r>
      <w:r>
        <w:t>qui s’inscrit dans « Corps humain et santé » &gt;&gt; « Hormones et procréation humaine » :</w:t>
      </w:r>
    </w:p>
    <w:p w14:paraId="238366F2" w14:textId="77777777" w:rsidR="00355D0F" w:rsidRDefault="00000000">
      <w:pPr>
        <w:jc w:val="both"/>
      </w:pPr>
      <w:r>
        <w:t>Le fonctionnement de l’appareil reproducteur repose sur un dispositif neuroendocrinien faisant intervenir l’hypothalamus, l’hypophyse et les organes sexuels. La connaissance de plus en plus précise des hormones naturelles endogènes contrôlant les fonctions de reproduction humaine a permis progressivement la mise au point de molécules de synthèse exogènes qui leurrent ce système et permettent une maîtrise de la procréation, avec de moins en moins d'effets secondaires.</w:t>
      </w:r>
    </w:p>
    <w:p w14:paraId="03110DF0" w14:textId="77777777" w:rsidR="00355D0F" w:rsidRDefault="00000000">
      <w:pPr>
        <w:jc w:val="both"/>
      </w:pPr>
      <w:r>
        <w:t>Chez la femme et chez l’homme, ces molécules de synthèse sont utilisées dans la contraception régulière (« la pilule »).</w:t>
      </w:r>
    </w:p>
    <w:p w14:paraId="40505042" w14:textId="77777777" w:rsidR="00355D0F" w:rsidRDefault="00000000">
      <w:pPr>
        <w:pStyle w:val="p1"/>
        <w:jc w:val="both"/>
        <w:rPr>
          <w:rFonts w:asciiTheme="minorHAnsi" w:eastAsiaTheme="minorHAnsi" w:hAnsiTheme="minorHAnsi" w:cstheme="minorBidi"/>
          <w:color w:val="auto"/>
          <w:sz w:val="22"/>
          <w:szCs w:val="22"/>
          <w:lang w:eastAsia="en-US"/>
        </w:rPr>
      </w:pPr>
      <w:r>
        <w:rPr>
          <w:rFonts w:asciiTheme="minorHAnsi" w:eastAsiaTheme="minorHAnsi" w:hAnsiTheme="minorHAnsi" w:cstheme="minorBidi"/>
          <w:b/>
          <w:i/>
          <w:iCs/>
          <w:color w:val="000000" w:themeColor="text1"/>
          <w:sz w:val="22"/>
          <w:szCs w:val="22"/>
          <w:lang w:eastAsia="en-US"/>
        </w:rPr>
        <w:t>Notions fondamentales :</w:t>
      </w:r>
      <w:r>
        <w:rPr>
          <w:rFonts w:asciiTheme="minorHAnsi" w:eastAsiaTheme="minorHAnsi" w:hAnsiTheme="minorHAnsi" w:cstheme="minorBidi"/>
          <w:b/>
          <w:color w:val="000000" w:themeColor="text1"/>
          <w:sz w:val="22"/>
          <w:szCs w:val="22"/>
          <w:lang w:eastAsia="en-US"/>
        </w:rPr>
        <w:t xml:space="preserve"> </w:t>
      </w:r>
      <w:r>
        <w:rPr>
          <w:rFonts w:asciiTheme="minorHAnsi" w:eastAsiaTheme="minorHAnsi" w:hAnsiTheme="minorHAnsi" w:cstheme="minorBidi"/>
          <w:color w:val="auto"/>
          <w:sz w:val="22"/>
          <w:szCs w:val="22"/>
          <w:lang w:eastAsia="en-US"/>
        </w:rPr>
        <w:t>hormones et neurohormones hypothalamo-hypophysaires (FSH, LH et GnRH) ; modes d’action biologique des molécules exogènes.</w:t>
      </w:r>
    </w:p>
    <w:p w14:paraId="6423C3ED" w14:textId="77777777" w:rsidR="00355D0F" w:rsidRDefault="00355D0F">
      <w:pPr>
        <w:spacing w:after="0" w:line="240" w:lineRule="auto"/>
        <w:jc w:val="both"/>
        <w:rPr>
          <w:rFonts w:asciiTheme="majorHAnsi" w:hAnsiTheme="majorHAnsi" w:cstheme="majorHAnsi"/>
        </w:rPr>
      </w:pPr>
    </w:p>
    <w:p w14:paraId="4B2044AC" w14:textId="77777777" w:rsidR="00355D0F" w:rsidRDefault="00000000">
      <w:pPr>
        <w:pStyle w:val="Paragraphedeliste"/>
        <w:numPr>
          <w:ilvl w:val="0"/>
          <w:numId w:val="1"/>
        </w:numPr>
        <w:spacing w:after="0" w:line="240" w:lineRule="auto"/>
        <w:jc w:val="both"/>
        <w:rPr>
          <w:rFonts w:asciiTheme="majorHAnsi" w:hAnsiTheme="majorHAnsi" w:cstheme="majorHAnsi"/>
          <w:b/>
        </w:rPr>
      </w:pPr>
      <w:r>
        <w:rPr>
          <w:rFonts w:asciiTheme="majorHAnsi" w:hAnsiTheme="majorHAnsi" w:cstheme="majorHAnsi"/>
          <w:b/>
        </w:rPr>
        <w:t>L’activité vise l’étude de l’action d’un contraceptif hormonal sur le complexe hypothalamo-hypophysaire.</w:t>
      </w:r>
    </w:p>
    <w:p w14:paraId="2FF751B4" w14:textId="77777777" w:rsidR="00355D0F" w:rsidRDefault="00355D0F">
      <w:pPr>
        <w:pStyle w:val="Paragraphedeliste"/>
        <w:spacing w:after="0" w:line="240" w:lineRule="auto"/>
      </w:pPr>
    </w:p>
    <w:p w14:paraId="3E062A5A" w14:textId="77777777" w:rsidR="00355D0F" w:rsidRDefault="00000000">
      <w:r>
        <w:rPr>
          <w:b/>
          <w:color w:val="00B0F0"/>
        </w:rPr>
        <w:t>Compétence travaillée dans l’activité</w:t>
      </w:r>
      <w:r>
        <w:rPr>
          <w:color w:val="00B0F0"/>
        </w:rPr>
        <w:t> </w:t>
      </w:r>
      <w:r>
        <w:t>: Construire un texte explicatif</w:t>
      </w:r>
    </w:p>
    <w:p w14:paraId="0D938EDF" w14:textId="4FA3F59B" w:rsidR="00355D0F" w:rsidRDefault="00000000">
      <w:r>
        <w:rPr>
          <w:b/>
          <w:color w:val="00B0F0"/>
        </w:rPr>
        <w:t>Contexte de l’activité</w:t>
      </w:r>
      <w:r>
        <w:rPr>
          <w:color w:val="00B0F0"/>
        </w:rPr>
        <w:t> </w:t>
      </w:r>
      <w:r>
        <w:t>: Cette activité peut constitue</w:t>
      </w:r>
      <w:r w:rsidR="00B75EF3">
        <w:t>r</w:t>
      </w:r>
      <w:r>
        <w:t xml:space="preserve"> une évaluation ou une activité de remédiation fournie à la classe ou certains élèves en fonction de leur besoin.</w:t>
      </w:r>
    </w:p>
    <w:p w14:paraId="70DCC21F" w14:textId="77777777" w:rsidR="00355D0F" w:rsidRDefault="00000000">
      <w:r>
        <w:rPr>
          <w:b/>
          <w:color w:val="00B0F0"/>
        </w:rPr>
        <w:t xml:space="preserve">Contenu de l’activité </w:t>
      </w:r>
      <w:r>
        <w:t>:</w:t>
      </w:r>
    </w:p>
    <w:p w14:paraId="6010198B" w14:textId="77777777" w:rsidR="00355D0F" w:rsidRDefault="00000000">
      <w:pPr>
        <w:spacing w:after="0"/>
        <w:jc w:val="both"/>
      </w:pPr>
      <w:r>
        <w:t xml:space="preserve">C'est en 1955 que Grégory Pincus, médecin américain, met au point la première pilule contraceptive féminine utilisant des hormones de synthèse. Cette pilule est commercialisée aux Etats-Unis depuis 1960 et sept ans plus tard, en 1967, les députés français autorisent son utilisation en France (Loi Neuwirth). </w:t>
      </w:r>
    </w:p>
    <w:p w14:paraId="64B0D41E" w14:textId="77777777" w:rsidR="00355D0F" w:rsidRDefault="00355D0F">
      <w:pPr>
        <w:spacing w:after="0"/>
        <w:jc w:val="both"/>
      </w:pPr>
    </w:p>
    <w:p w14:paraId="6EC66EF1" w14:textId="690117D3" w:rsidR="00355D0F" w:rsidRDefault="00000000">
      <w:pPr>
        <w:spacing w:after="0"/>
        <w:jc w:val="both"/>
        <w:rPr>
          <w:b/>
          <w:bCs/>
        </w:rPr>
      </w:pPr>
      <w:r>
        <w:rPr>
          <w:rFonts w:asciiTheme="majorHAnsi" w:hAnsiTheme="majorHAnsi" w:cstheme="majorHAnsi"/>
          <w:u w:val="single"/>
        </w:rPr>
        <w:t>Consigne </w:t>
      </w:r>
      <w:r>
        <w:rPr>
          <w:rFonts w:asciiTheme="majorHAnsi" w:hAnsiTheme="majorHAnsi" w:cstheme="majorHAnsi"/>
        </w:rPr>
        <w:t>: A partir de vos connaissances,</w:t>
      </w:r>
      <w:r>
        <w:rPr>
          <w:rFonts w:asciiTheme="majorHAnsi" w:hAnsiTheme="majorHAnsi" w:cstheme="majorHAnsi"/>
          <w:b/>
          <w:bCs/>
        </w:rPr>
        <w:t xml:space="preserve"> construire un texte </w:t>
      </w:r>
      <w:r w:rsidR="00336774">
        <w:rPr>
          <w:rFonts w:asciiTheme="majorHAnsi" w:hAnsiTheme="majorHAnsi" w:cstheme="majorHAnsi"/>
          <w:b/>
          <w:bCs/>
        </w:rPr>
        <w:t>expliquant</w:t>
      </w:r>
      <w:r>
        <w:rPr>
          <w:rFonts w:asciiTheme="majorHAnsi" w:hAnsiTheme="majorHAnsi" w:cstheme="majorHAnsi"/>
        </w:rPr>
        <w:t xml:space="preserve"> </w:t>
      </w:r>
      <w:r>
        <w:t>comment la pilule combinée empêche la mise en place d’une grossesse.</w:t>
      </w:r>
    </w:p>
    <w:p w14:paraId="4D9B10E8" w14:textId="77777777" w:rsidR="00355D0F" w:rsidRDefault="00355D0F">
      <w:pPr>
        <w:rPr>
          <w:rFonts w:asciiTheme="majorHAnsi" w:hAnsiTheme="majorHAnsi" w:cstheme="majorHAnsi"/>
        </w:rPr>
      </w:pPr>
    </w:p>
    <w:p w14:paraId="50E469C6" w14:textId="77777777" w:rsidR="00355D0F" w:rsidRDefault="00000000">
      <w:r>
        <w:rPr>
          <w:b/>
          <w:color w:val="00B0F0"/>
        </w:rPr>
        <w:t xml:space="preserve">Critères de réussite de la compétence travaillée </w:t>
      </w:r>
      <w:r>
        <w:t xml:space="preserve">: </w:t>
      </w:r>
    </w:p>
    <w:p w14:paraId="65BAB46F" w14:textId="77777777" w:rsidR="00355D0F" w:rsidRDefault="00000000">
      <w:pPr>
        <w:pStyle w:val="Paragraphedeliste"/>
        <w:numPr>
          <w:ilvl w:val="0"/>
          <w:numId w:val="6"/>
        </w:numPr>
        <w:spacing w:after="0" w:line="240" w:lineRule="auto"/>
        <w:rPr>
          <w:u w:val="single"/>
        </w:rPr>
      </w:pPr>
      <w:r>
        <w:rPr>
          <w:u w:val="single"/>
        </w:rPr>
        <w:t>Construire un texte explicatif (= texte comportant au moins 2 idées clés mises en relation pour expliquer un phénomène, un mécanisme,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1"/>
        <w:gridCol w:w="1454"/>
      </w:tblGrid>
      <w:tr w:rsidR="00355D0F" w14:paraId="529B8321" w14:textId="77777777">
        <w:trPr>
          <w:trHeight w:val="392"/>
        </w:trPr>
        <w:tc>
          <w:tcPr>
            <w:tcW w:w="656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6A8E88E" w14:textId="77777777" w:rsidR="00355D0F" w:rsidRDefault="00000000">
            <w:pPr>
              <w:spacing w:after="0" w:line="240" w:lineRule="auto"/>
              <w:jc w:val="center"/>
              <w:rPr>
                <w:rFonts w:cs="Arial"/>
                <w:b/>
              </w:rPr>
            </w:pPr>
            <w:r>
              <w:rPr>
                <w:rFonts w:cs="Arial"/>
                <w:b/>
              </w:rPr>
              <w:t xml:space="preserve">Je réussis si : </w:t>
            </w:r>
          </w:p>
          <w:p w14:paraId="58EE6E72" w14:textId="77777777" w:rsidR="00355D0F" w:rsidRDefault="00000000">
            <w:pPr>
              <w:spacing w:after="0" w:line="240" w:lineRule="auto"/>
              <w:jc w:val="right"/>
              <w:rPr>
                <w:rFonts w:cs="Arial"/>
                <w:b/>
              </w:rPr>
            </w:pPr>
            <w:r>
              <w:rPr>
                <w:rFonts w:cs="Arial"/>
                <w:b/>
              </w:rPr>
              <w:t>+/-</w:t>
            </w:r>
          </w:p>
        </w:tc>
        <w:tc>
          <w:tcPr>
            <w:tcW w:w="781"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E0FE39B" w14:textId="77777777" w:rsidR="00355D0F" w:rsidRDefault="00000000">
            <w:pPr>
              <w:spacing w:after="0" w:line="240" w:lineRule="auto"/>
              <w:jc w:val="center"/>
              <w:rPr>
                <w:rFonts w:cs="Arial"/>
                <w:b/>
              </w:rPr>
            </w:pPr>
            <w:r>
              <w:rPr>
                <w:rFonts w:cs="Arial"/>
                <w:b/>
              </w:rPr>
              <w:t>Evaluation</w:t>
            </w:r>
          </w:p>
        </w:tc>
      </w:tr>
      <w:tr w:rsidR="00355D0F" w14:paraId="0F591DA6"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33027051" w14:textId="77777777" w:rsidR="00355D0F" w:rsidRDefault="00000000">
            <w:pPr>
              <w:spacing w:after="0" w:line="240" w:lineRule="auto"/>
              <w:rPr>
                <w:rFonts w:cstheme="minorHAnsi"/>
              </w:rPr>
            </w:pPr>
            <w:r>
              <w:rPr>
                <w:rFonts w:cstheme="minorHAnsi"/>
                <w:u w:val="single"/>
              </w:rPr>
              <w:t>PERTINENCE</w:t>
            </w:r>
            <w:r>
              <w:rPr>
                <w:rFonts w:cstheme="minorHAnsi"/>
                <w:spacing w:val="-6"/>
                <w:u w:val="single"/>
              </w:rPr>
              <w:t xml:space="preserve"> </w:t>
            </w:r>
            <w:r>
              <w:rPr>
                <w:rFonts w:cstheme="minorHAnsi"/>
                <w:u w:val="single"/>
              </w:rPr>
              <w:t>:</w:t>
            </w:r>
            <w:r>
              <w:t xml:space="preserve"> Mon texte permet</w:t>
            </w:r>
            <w:r>
              <w:rPr>
                <w:b/>
              </w:rPr>
              <w:t xml:space="preserve"> d’expliquer ce qui est visé</w:t>
            </w:r>
            <w:r>
              <w:t xml:space="preserve">. Pour cela, seules les </w:t>
            </w:r>
            <w:r>
              <w:rPr>
                <w:b/>
              </w:rPr>
              <w:t>idées-clés utiles</w:t>
            </w:r>
            <w:r>
              <w:t xml:space="preserve"> sont sélectionnées et elles s'enchaînent de façon </w:t>
            </w:r>
            <w:r>
              <w:rPr>
                <w:b/>
              </w:rPr>
              <w:t>logique</w:t>
            </w:r>
            <w:r>
              <w:t>.</w:t>
            </w:r>
          </w:p>
        </w:tc>
        <w:tc>
          <w:tcPr>
            <w:tcW w:w="781" w:type="dxa"/>
            <w:tcBorders>
              <w:top w:val="single" w:sz="4" w:space="0" w:color="auto"/>
              <w:left w:val="single" w:sz="4" w:space="0" w:color="auto"/>
              <w:bottom w:val="single" w:sz="4" w:space="0" w:color="auto"/>
              <w:right w:val="single" w:sz="4" w:space="0" w:color="auto"/>
            </w:tcBorders>
          </w:tcPr>
          <w:p w14:paraId="7F9B9968" w14:textId="77777777" w:rsidR="00355D0F" w:rsidRDefault="00355D0F">
            <w:pPr>
              <w:spacing w:after="0" w:line="240" w:lineRule="auto"/>
              <w:jc w:val="center"/>
              <w:rPr>
                <w:rFonts w:cs="Arial"/>
              </w:rPr>
            </w:pPr>
          </w:p>
        </w:tc>
      </w:tr>
      <w:tr w:rsidR="00355D0F" w14:paraId="2D6A9852"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68D32E50" w14:textId="77777777" w:rsidR="00355D0F" w:rsidRDefault="00000000">
            <w:pPr>
              <w:pStyle w:val="Sansinterligne"/>
            </w:pPr>
            <w:r>
              <w:rPr>
                <w:rFonts w:cstheme="minorHAnsi"/>
                <w:u w:val="single"/>
              </w:rPr>
              <w:t>COMPLETUDE :</w:t>
            </w:r>
            <w:r>
              <w:t xml:space="preserve"> </w:t>
            </w:r>
            <w:r>
              <w:rPr>
                <w:b/>
              </w:rPr>
              <w:t>Toutes les idées-clés</w:t>
            </w:r>
            <w:r>
              <w:t xml:space="preserve"> nécessaires pour répondre sont présentes. </w:t>
            </w:r>
            <w:r>
              <w:rPr>
                <w:b/>
              </w:rPr>
              <w:t>Toutes les informations</w:t>
            </w:r>
            <w:r>
              <w:t xml:space="preserve"> associées aux idées-clés sont présentes. </w:t>
            </w:r>
          </w:p>
        </w:tc>
        <w:tc>
          <w:tcPr>
            <w:tcW w:w="781" w:type="dxa"/>
            <w:tcBorders>
              <w:top w:val="single" w:sz="4" w:space="0" w:color="auto"/>
              <w:left w:val="single" w:sz="4" w:space="0" w:color="auto"/>
              <w:bottom w:val="single" w:sz="4" w:space="0" w:color="auto"/>
              <w:right w:val="single" w:sz="4" w:space="0" w:color="auto"/>
            </w:tcBorders>
          </w:tcPr>
          <w:p w14:paraId="08A49812" w14:textId="77777777" w:rsidR="00355D0F" w:rsidRDefault="00355D0F">
            <w:pPr>
              <w:spacing w:after="0" w:line="240" w:lineRule="auto"/>
              <w:jc w:val="center"/>
              <w:rPr>
                <w:rFonts w:cs="Arial"/>
              </w:rPr>
            </w:pPr>
          </w:p>
        </w:tc>
      </w:tr>
      <w:tr w:rsidR="00355D0F" w14:paraId="0FC09BA8"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6D625AF4" w14:textId="77777777" w:rsidR="00355D0F" w:rsidRDefault="00000000">
            <w:pPr>
              <w:pStyle w:val="TableParagraph"/>
              <w:ind w:left="85"/>
              <w:rPr>
                <w:b/>
              </w:rPr>
            </w:pPr>
            <w:r>
              <w:rPr>
                <w:rFonts w:asciiTheme="minorHAnsi" w:hAnsiTheme="minorHAnsi" w:cstheme="minorHAnsi"/>
                <w:u w:val="single"/>
              </w:rPr>
              <w:t xml:space="preserve">EXACTITUDE : </w:t>
            </w:r>
            <w:r>
              <w:t>Je</w:t>
            </w:r>
            <w:r>
              <w:rPr>
                <w:spacing w:val="-2"/>
              </w:rPr>
              <w:t xml:space="preserve"> </w:t>
            </w:r>
            <w:r>
              <w:t>suis</w:t>
            </w:r>
            <w:r>
              <w:rPr>
                <w:spacing w:val="-1"/>
              </w:rPr>
              <w:t xml:space="preserve"> </w:t>
            </w:r>
            <w:r>
              <w:rPr>
                <w:b/>
                <w:spacing w:val="-2"/>
              </w:rPr>
              <w:t>rigoureux / rigoureuse dans la rédaction :</w:t>
            </w:r>
          </w:p>
          <w:p w14:paraId="71482252" w14:textId="77777777" w:rsidR="00355D0F" w:rsidRDefault="00000000">
            <w:pPr>
              <w:pStyle w:val="TableParagraph"/>
              <w:numPr>
                <w:ilvl w:val="0"/>
                <w:numId w:val="4"/>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7759A257" w14:textId="77777777" w:rsidR="00355D0F" w:rsidRDefault="00000000">
            <w:pPr>
              <w:pStyle w:val="TableParagraph"/>
              <w:numPr>
                <w:ilvl w:val="0"/>
                <w:numId w:val="4"/>
              </w:numPr>
              <w:tabs>
                <w:tab w:val="left" w:pos="805"/>
              </w:tabs>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dans les informations présentées</w:t>
            </w:r>
            <w:r>
              <w:rPr>
                <w:spacing w:val="-2"/>
              </w:rPr>
              <w:t>.</w:t>
            </w:r>
          </w:p>
        </w:tc>
        <w:tc>
          <w:tcPr>
            <w:tcW w:w="781" w:type="dxa"/>
            <w:tcBorders>
              <w:top w:val="single" w:sz="4" w:space="0" w:color="auto"/>
              <w:left w:val="single" w:sz="4" w:space="0" w:color="auto"/>
              <w:bottom w:val="single" w:sz="4" w:space="0" w:color="auto"/>
              <w:right w:val="single" w:sz="4" w:space="0" w:color="auto"/>
            </w:tcBorders>
          </w:tcPr>
          <w:p w14:paraId="44B5DBDE" w14:textId="77777777" w:rsidR="00355D0F" w:rsidRDefault="00355D0F">
            <w:pPr>
              <w:spacing w:after="0" w:line="240" w:lineRule="auto"/>
              <w:jc w:val="center"/>
              <w:rPr>
                <w:rFonts w:cs="Arial"/>
              </w:rPr>
            </w:pPr>
          </w:p>
        </w:tc>
      </w:tr>
      <w:tr w:rsidR="00355D0F" w14:paraId="7865C2FB" w14:textId="77777777">
        <w:trPr>
          <w:trHeight w:val="581"/>
        </w:trPr>
        <w:tc>
          <w:tcPr>
            <w:tcW w:w="6563" w:type="dxa"/>
            <w:tcBorders>
              <w:top w:val="single" w:sz="4" w:space="0" w:color="auto"/>
              <w:left w:val="single" w:sz="4" w:space="0" w:color="auto"/>
              <w:bottom w:val="single" w:sz="4" w:space="0" w:color="auto"/>
              <w:right w:val="single" w:sz="4" w:space="0" w:color="auto"/>
            </w:tcBorders>
          </w:tcPr>
          <w:p w14:paraId="6B2044DC" w14:textId="77777777" w:rsidR="00355D0F" w:rsidRDefault="00000000">
            <w:pPr>
              <w:pStyle w:val="TableParagraph"/>
              <w:ind w:left="85"/>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4FFE9B0A" w14:textId="77777777" w:rsidR="00355D0F" w:rsidRDefault="00000000">
            <w:pPr>
              <w:pStyle w:val="TableParagraph"/>
              <w:numPr>
                <w:ilvl w:val="0"/>
                <w:numId w:val="7"/>
              </w:numPr>
              <w:tabs>
                <w:tab w:val="left" w:pos="805"/>
              </w:tabs>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758EB6DB" w14:textId="77777777" w:rsidR="00355D0F" w:rsidRDefault="00000000">
            <w:pPr>
              <w:pStyle w:val="TableParagraph"/>
              <w:numPr>
                <w:ilvl w:val="0"/>
                <w:numId w:val="7"/>
              </w:numPr>
              <w:tabs>
                <w:tab w:val="left" w:pos="805"/>
              </w:tabs>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7F09E2CB" w14:textId="77777777" w:rsidR="00355D0F" w:rsidRDefault="00000000">
            <w:pPr>
              <w:pStyle w:val="TableParagraph"/>
              <w:numPr>
                <w:ilvl w:val="0"/>
                <w:numId w:val="7"/>
              </w:numPr>
              <w:tabs>
                <w:tab w:val="left" w:pos="805"/>
              </w:tabs>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394E9409" w14:textId="77777777" w:rsidR="00355D0F" w:rsidRDefault="00000000">
            <w:pPr>
              <w:spacing w:after="0" w:line="240" w:lineRule="auto"/>
              <w:rPr>
                <w:rFonts w:cstheme="minorHAnsi"/>
              </w:rPr>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781" w:type="dxa"/>
            <w:tcBorders>
              <w:top w:val="single" w:sz="4" w:space="0" w:color="auto"/>
              <w:left w:val="single" w:sz="4" w:space="0" w:color="auto"/>
              <w:bottom w:val="single" w:sz="4" w:space="0" w:color="auto"/>
              <w:right w:val="single" w:sz="4" w:space="0" w:color="auto"/>
            </w:tcBorders>
          </w:tcPr>
          <w:p w14:paraId="1691F4B7" w14:textId="77777777" w:rsidR="00355D0F" w:rsidRDefault="00355D0F">
            <w:pPr>
              <w:spacing w:after="0" w:line="240" w:lineRule="auto"/>
              <w:jc w:val="center"/>
              <w:rPr>
                <w:rFonts w:cs="Arial"/>
              </w:rPr>
            </w:pPr>
          </w:p>
        </w:tc>
      </w:tr>
    </w:tbl>
    <w:p w14:paraId="72F6015B" w14:textId="77777777" w:rsidR="00355D0F" w:rsidRDefault="00355D0F">
      <w:pPr>
        <w:pStyle w:val="Paragraphedeliste"/>
      </w:pPr>
    </w:p>
    <w:p w14:paraId="629EE8BB" w14:textId="77777777" w:rsidR="00355D0F" w:rsidRDefault="00355D0F">
      <w:pPr>
        <w:rPr>
          <w:b/>
          <w:color w:val="00B0F0"/>
        </w:rPr>
      </w:pPr>
    </w:p>
    <w:p w14:paraId="055344B3" w14:textId="77777777" w:rsidR="00355D0F" w:rsidRDefault="00000000">
      <w:pPr>
        <w:rPr>
          <w:color w:val="FF0000"/>
        </w:rPr>
      </w:pPr>
      <w:r>
        <w:rPr>
          <w:b/>
          <w:color w:val="00B0F0"/>
        </w:rPr>
        <w:lastRenderedPageBreak/>
        <w:t>ANNEXES </w:t>
      </w:r>
      <w:r>
        <w:t xml:space="preserve">: </w:t>
      </w:r>
    </w:p>
    <w:p w14:paraId="667F36AE" w14:textId="77777777" w:rsidR="00355D0F" w:rsidRDefault="00000000">
      <w:pPr>
        <w:jc w:val="both"/>
        <w:rPr>
          <w:i/>
          <w:iCs/>
        </w:rPr>
      </w:pPr>
      <w:r>
        <w:rPr>
          <w:i/>
          <w:iCs/>
          <w:u w:val="single"/>
        </w:rPr>
        <w:t>Idées-clé attendues</w:t>
      </w:r>
      <w:r>
        <w:rPr>
          <w:i/>
          <w:iCs/>
        </w:rPr>
        <w:t xml:space="preserve"> :   </w:t>
      </w:r>
    </w:p>
    <w:p w14:paraId="39619F22" w14:textId="77777777" w:rsidR="00355D0F" w:rsidRDefault="00000000">
      <w:pPr>
        <w:pStyle w:val="Paragraphedeliste"/>
        <w:numPr>
          <w:ilvl w:val="0"/>
          <w:numId w:val="9"/>
        </w:numPr>
        <w:jc w:val="both"/>
        <w:rPr>
          <w:i/>
          <w:iCs/>
        </w:rPr>
      </w:pPr>
      <w:r>
        <w:rPr>
          <w:i/>
          <w:iCs/>
        </w:rPr>
        <w:t xml:space="preserve"> Le pic de LH induit l’ovulation</w:t>
      </w:r>
    </w:p>
    <w:p w14:paraId="7122A0BC" w14:textId="77777777" w:rsidR="00355D0F" w:rsidRDefault="00000000">
      <w:pPr>
        <w:pStyle w:val="Paragraphedeliste"/>
        <w:numPr>
          <w:ilvl w:val="0"/>
          <w:numId w:val="9"/>
        </w:numPr>
        <w:jc w:val="both"/>
        <w:rPr>
          <w:i/>
          <w:iCs/>
        </w:rPr>
      </w:pPr>
      <w:r>
        <w:rPr>
          <w:i/>
          <w:iCs/>
        </w:rPr>
        <w:t xml:space="preserve"> La pilule inhibe l’activité de l’hypophyse ce qui empêche le pic de LH</w:t>
      </w:r>
    </w:p>
    <w:p w14:paraId="587D2DC7" w14:textId="77777777" w:rsidR="00355D0F" w:rsidRDefault="00000000">
      <w:pPr>
        <w:jc w:val="both"/>
        <w:rPr>
          <w:i/>
          <w:iCs/>
        </w:rPr>
      </w:pPr>
      <w:r>
        <w:rPr>
          <w:i/>
          <w:iCs/>
          <w:u w:val="single"/>
        </w:rPr>
        <w:t>Connaissances associées</w:t>
      </w:r>
      <w:r>
        <w:rPr>
          <w:i/>
          <w:iCs/>
        </w:rPr>
        <w:t> :</w:t>
      </w:r>
    </w:p>
    <w:p w14:paraId="55521145" w14:textId="77777777" w:rsidR="00355D0F" w:rsidRDefault="00000000">
      <w:pPr>
        <w:pStyle w:val="Paragraphedeliste"/>
        <w:numPr>
          <w:ilvl w:val="0"/>
          <w:numId w:val="8"/>
        </w:numPr>
        <w:jc w:val="both"/>
        <w:rPr>
          <w:i/>
          <w:iCs/>
        </w:rPr>
      </w:pPr>
      <w:r>
        <w:rPr>
          <w:i/>
          <w:iCs/>
        </w:rPr>
        <w:t>La LH est une hormone produite par l’hypophyse</w:t>
      </w:r>
    </w:p>
    <w:p w14:paraId="486D6613" w14:textId="77777777" w:rsidR="00355D0F" w:rsidRDefault="00000000">
      <w:pPr>
        <w:pStyle w:val="Paragraphedeliste"/>
        <w:numPr>
          <w:ilvl w:val="0"/>
          <w:numId w:val="8"/>
        </w:numPr>
        <w:jc w:val="both"/>
        <w:rPr>
          <w:i/>
          <w:iCs/>
        </w:rPr>
      </w:pPr>
      <w:r>
        <w:rPr>
          <w:i/>
          <w:iCs/>
        </w:rPr>
        <w:t>La concentration en LH augmente de façon significative juste avant l’ovulation</w:t>
      </w:r>
    </w:p>
    <w:p w14:paraId="27F1B0DC" w14:textId="77777777" w:rsidR="00355D0F" w:rsidRDefault="00000000">
      <w:pPr>
        <w:pStyle w:val="Paragraphedeliste"/>
        <w:numPr>
          <w:ilvl w:val="0"/>
          <w:numId w:val="8"/>
        </w:numPr>
        <w:jc w:val="both"/>
        <w:rPr>
          <w:i/>
          <w:iCs/>
        </w:rPr>
      </w:pPr>
      <w:r>
        <w:rPr>
          <w:i/>
          <w:iCs/>
        </w:rPr>
        <w:t>L’ovulation correspond à la libération d’un ovocyte (ou ovule) par l’ovaire</w:t>
      </w:r>
    </w:p>
    <w:p w14:paraId="7E1AA61C" w14:textId="77777777" w:rsidR="00355D0F" w:rsidRDefault="00000000">
      <w:pPr>
        <w:pStyle w:val="Paragraphedeliste"/>
        <w:numPr>
          <w:ilvl w:val="0"/>
          <w:numId w:val="8"/>
        </w:numPr>
        <w:jc w:val="both"/>
        <w:rPr>
          <w:i/>
          <w:iCs/>
        </w:rPr>
      </w:pPr>
      <w:r>
        <w:rPr>
          <w:i/>
          <w:iCs/>
        </w:rPr>
        <w:t>La pilule contient des oestrogènes et de la progestérone de synthèse qui bloquent l’hypophyse</w:t>
      </w:r>
    </w:p>
    <w:p w14:paraId="5F63773B" w14:textId="77777777" w:rsidR="00355D0F" w:rsidRDefault="00355D0F">
      <w:pPr>
        <w:pStyle w:val="Paragraphedeliste"/>
        <w:jc w:val="both"/>
        <w:rPr>
          <w:i/>
          <w:iCs/>
        </w:rPr>
      </w:pPr>
    </w:p>
    <w:p w14:paraId="05E20467" w14:textId="77777777" w:rsidR="00355D0F" w:rsidRDefault="00355D0F">
      <w:pPr>
        <w:rPr>
          <w:color w:val="FF0000"/>
        </w:rPr>
      </w:pPr>
    </w:p>
    <w:sectPr w:rsidR="00355D0F">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E608" w14:textId="77777777" w:rsidR="00704E1B" w:rsidRDefault="00704E1B">
      <w:pPr>
        <w:spacing w:after="0" w:line="240" w:lineRule="auto"/>
      </w:pPr>
      <w:r>
        <w:separator/>
      </w:r>
    </w:p>
  </w:endnote>
  <w:endnote w:type="continuationSeparator" w:id="0">
    <w:p w14:paraId="2ABE863D" w14:textId="77777777" w:rsidR="00704E1B" w:rsidRDefault="0070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BCBFA" w14:textId="77777777" w:rsidR="00704E1B" w:rsidRDefault="00704E1B">
      <w:pPr>
        <w:spacing w:after="0" w:line="240" w:lineRule="auto"/>
      </w:pPr>
      <w:r>
        <w:separator/>
      </w:r>
    </w:p>
  </w:footnote>
  <w:footnote w:type="continuationSeparator" w:id="0">
    <w:p w14:paraId="1F955CDF" w14:textId="77777777" w:rsidR="00704E1B" w:rsidRDefault="00704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713C92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C6F2E0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A45875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525CE80E"/>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1707EBC"/>
    <w:multiLevelType w:val="multilevel"/>
    <w:tmpl w:val="5E347A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AF355E"/>
    <w:multiLevelType w:val="multilevel"/>
    <w:tmpl w:val="D16CC5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8E39D9"/>
    <w:multiLevelType w:val="multilevel"/>
    <w:tmpl w:val="22E066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448347E"/>
    <w:multiLevelType w:val="multilevel"/>
    <w:tmpl w:val="EE025B2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8" w15:restartNumberingAfterBreak="0">
    <w:nsid w:val="757028EA"/>
    <w:multiLevelType w:val="multilevel"/>
    <w:tmpl w:val="432ECDCE"/>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365204915">
    <w:abstractNumId w:val="2"/>
  </w:num>
  <w:num w:numId="2" w16cid:durableId="2118864407">
    <w:abstractNumId w:val="1"/>
  </w:num>
  <w:num w:numId="3" w16cid:durableId="2140949412">
    <w:abstractNumId w:val="6"/>
  </w:num>
  <w:num w:numId="4" w16cid:durableId="658047219">
    <w:abstractNumId w:val="7"/>
  </w:num>
  <w:num w:numId="5" w16cid:durableId="1888489121">
    <w:abstractNumId w:val="3"/>
  </w:num>
  <w:num w:numId="6" w16cid:durableId="2017531666">
    <w:abstractNumId w:val="0"/>
  </w:num>
  <w:num w:numId="7" w16cid:durableId="1163820235">
    <w:abstractNumId w:val="8"/>
  </w:num>
  <w:num w:numId="8" w16cid:durableId="1344094197">
    <w:abstractNumId w:val="4"/>
  </w:num>
  <w:num w:numId="9" w16cid:durableId="475028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D0F"/>
    <w:rsid w:val="001C1AB9"/>
    <w:rsid w:val="00336774"/>
    <w:rsid w:val="00355D0F"/>
    <w:rsid w:val="006B4762"/>
    <w:rsid w:val="00704E1B"/>
    <w:rsid w:val="00A515EC"/>
    <w:rsid w:val="00B75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5B30"/>
  <w15:docId w15:val="{E65316A6-0DCA-465B-8F85-94BA18FB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p1">
    <w:name w:val="p1"/>
    <w:basedOn w:val="Normal"/>
    <w:pPr>
      <w:spacing w:after="0" w:line="240" w:lineRule="auto"/>
    </w:pPr>
    <w:rPr>
      <w:rFonts w:ascii="Arial" w:eastAsia="Times New Roman" w:hAnsi="Arial" w:cs="Arial"/>
      <w:color w:val="000000"/>
      <w:sz w:val="17"/>
      <w:szCs w:val="1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2752</Characters>
  <Application>Microsoft Office Word</Application>
  <DocSecurity>0</DocSecurity>
  <Lines>22</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7</cp:revision>
  <dcterms:created xsi:type="dcterms:W3CDTF">2026-04-03T13:08:00Z</dcterms:created>
  <dcterms:modified xsi:type="dcterms:W3CDTF">2026-07-13T08:18:00Z</dcterms:modified>
</cp:coreProperties>
</file>