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B8C7F" w14:textId="77777777" w:rsidR="006C63A3" w:rsidRDefault="00000000">
      <w:pPr>
        <w:jc w:val="center"/>
        <w:rPr>
          <w:b/>
          <w:sz w:val="32"/>
          <w:szCs w:val="32"/>
        </w:rPr>
      </w:pPr>
      <w:r>
        <w:rPr>
          <w:b/>
          <w:sz w:val="32"/>
          <w:szCs w:val="32"/>
        </w:rPr>
        <w:t>Contrôle hormonal du cycle menstruel</w:t>
      </w:r>
    </w:p>
    <w:p w14:paraId="1349D67B" w14:textId="77777777" w:rsidR="006C63A3" w:rsidRDefault="00000000">
      <w:pPr>
        <w:rPr>
          <w:rFonts w:ascii="Calibri" w:hAnsi="Calibri" w:cs="Calibri"/>
        </w:rPr>
      </w:pPr>
      <w:r>
        <w:rPr>
          <w:rFonts w:ascii="Calibri" w:eastAsia="Calibri" w:hAnsi="Calibri" w:cs="Calibri"/>
          <w:b/>
          <w:color w:val="00B0F0"/>
        </w:rPr>
        <w:t xml:space="preserve">Niveau de classe </w:t>
      </w:r>
      <w:r>
        <w:rPr>
          <w:rFonts w:ascii="Calibri" w:eastAsia="Calibri" w:hAnsi="Calibri" w:cs="Calibri"/>
        </w:rPr>
        <w:t>: Cycle 4, 3</w:t>
      </w:r>
      <w:r>
        <w:rPr>
          <w:rFonts w:ascii="Calibri" w:eastAsia="Calibri" w:hAnsi="Calibri" w:cs="Calibri"/>
          <w:vertAlign w:val="superscript"/>
        </w:rPr>
        <w:t>ème</w:t>
      </w:r>
    </w:p>
    <w:p w14:paraId="12B5E75B" w14:textId="77777777" w:rsidR="006C63A3" w:rsidRDefault="00000000">
      <w:pPr>
        <w:jc w:val="both"/>
        <w:rPr>
          <w:rFonts w:ascii="Calibri" w:hAnsi="Calibri" w:cs="Calibri"/>
          <w:color w:val="000000" w:themeColor="text1"/>
        </w:rPr>
      </w:pPr>
      <w:r>
        <w:rPr>
          <w:rFonts w:ascii="Calibri" w:eastAsia="Calibri" w:hAnsi="Calibri" w:cs="Calibri"/>
          <w:b/>
          <w:color w:val="00B0F0"/>
        </w:rPr>
        <w:t>Notion du BO travaillée</w:t>
      </w:r>
      <w:r>
        <w:rPr>
          <w:rFonts w:ascii="Calibri" w:eastAsia="Calibri" w:hAnsi="Calibri" w:cs="Calibri"/>
          <w:color w:val="00B0F0"/>
        </w:rPr>
        <w:t> </w:t>
      </w:r>
      <w:r>
        <w:rPr>
          <w:rFonts w:ascii="Calibri" w:eastAsia="Calibri" w:hAnsi="Calibri" w:cs="Calibri"/>
        </w:rPr>
        <w:t xml:space="preserve">qui s’inscrit </w:t>
      </w:r>
      <w:r>
        <w:rPr>
          <w:rFonts w:ascii="Calibri" w:eastAsia="Calibri" w:hAnsi="Calibri" w:cs="Calibri"/>
          <w:color w:val="000000" w:themeColor="text1"/>
        </w:rPr>
        <w:t>dans « corps humain et santé» &gt;&gt; « corps humain : contrôles hormonaux » :</w:t>
      </w:r>
    </w:p>
    <w:p w14:paraId="67794A26" w14:textId="77777777" w:rsidR="006C63A3" w:rsidRDefault="00000000">
      <w:pPr>
        <w:pBdr>
          <w:top w:val="none" w:sz="4" w:space="0" w:color="000000"/>
          <w:left w:val="none" w:sz="4" w:space="0" w:color="000000"/>
          <w:bottom w:val="none" w:sz="4" w:space="0" w:color="000000"/>
          <w:right w:val="none" w:sz="4" w:space="0" w:color="000000"/>
        </w:pBdr>
        <w:jc w:val="both"/>
        <w:rPr>
          <w:rFonts w:ascii="Calibri" w:hAnsi="Calibri" w:cs="Calibri"/>
        </w:rPr>
      </w:pPr>
      <w:r>
        <w:rPr>
          <w:rFonts w:ascii="Calibri" w:eastAsia="Calibri" w:hAnsi="Calibri" w:cs="Calibri"/>
        </w:rPr>
        <w:t>Relier le fonctionnement des appareils reproducteurs à partir de la puberté aux principes de la maîtrise de la reproduction.</w:t>
      </w:r>
    </w:p>
    <w:p w14:paraId="331E8792" w14:textId="77777777" w:rsidR="006C63A3" w:rsidRDefault="00000000">
      <w:pPr>
        <w:spacing w:after="0" w:line="240" w:lineRule="auto"/>
        <w:jc w:val="both"/>
        <w:rPr>
          <w:rFonts w:ascii="Calibri" w:hAnsi="Calibri" w:cs="Calibri"/>
        </w:rPr>
      </w:pPr>
      <w:r>
        <w:rPr>
          <w:rFonts w:ascii="Calibri" w:eastAsia="Calibri" w:hAnsi="Calibri" w:cs="Calibri"/>
          <w:b/>
          <w:bCs/>
          <w:i/>
          <w:iCs/>
        </w:rPr>
        <w:t xml:space="preserve">Notions fondamentales : </w:t>
      </w:r>
      <w:r>
        <w:rPr>
          <w:rFonts w:ascii="Calibri" w:eastAsia="Calibri" w:hAnsi="Calibri" w:cs="Calibri"/>
        </w:rPr>
        <w:t>hormones cérébrales, hormones ovariennes (œstrogènes, progestérone).</w:t>
      </w:r>
    </w:p>
    <w:p w14:paraId="3543B7DE" w14:textId="77777777" w:rsidR="006C63A3" w:rsidRDefault="006C63A3">
      <w:pPr>
        <w:spacing w:after="0" w:line="240" w:lineRule="auto"/>
        <w:jc w:val="both"/>
        <w:rPr>
          <w:rFonts w:ascii="Calibri" w:hAnsi="Calibri" w:cs="Calibri"/>
        </w:rPr>
      </w:pPr>
    </w:p>
    <w:p w14:paraId="01F19299" w14:textId="77777777" w:rsidR="006C63A3" w:rsidRDefault="00000000">
      <w:pPr>
        <w:pStyle w:val="Paragraphedeliste"/>
        <w:numPr>
          <w:ilvl w:val="0"/>
          <w:numId w:val="1"/>
        </w:numPr>
        <w:spacing w:after="0" w:line="240" w:lineRule="auto"/>
        <w:jc w:val="both"/>
        <w:rPr>
          <w:rFonts w:ascii="Calibri" w:hAnsi="Calibri" w:cs="Calibri"/>
          <w:b/>
          <w:bCs/>
          <w:color w:val="000000" w:themeColor="text1"/>
        </w:rPr>
      </w:pPr>
      <w:r>
        <w:rPr>
          <w:rFonts w:ascii="Calibri" w:eastAsia="Calibri" w:hAnsi="Calibri" w:cs="Calibri"/>
          <w:b/>
          <w:bCs/>
          <w:color w:val="000000" w:themeColor="text1"/>
        </w:rPr>
        <w:t>L’activité vise l’étude du contrôle hormonal du fonctionnement de l’appareil reproducteur féminin</w:t>
      </w:r>
    </w:p>
    <w:p w14:paraId="2B91ADFB" w14:textId="77777777" w:rsidR="006C63A3" w:rsidRDefault="006C63A3">
      <w:pPr>
        <w:pStyle w:val="Paragraphedeliste"/>
        <w:spacing w:after="0" w:line="240" w:lineRule="auto"/>
        <w:rPr>
          <w:rFonts w:ascii="Calibri" w:hAnsi="Calibri" w:cs="Calibri"/>
        </w:rPr>
      </w:pPr>
    </w:p>
    <w:p w14:paraId="0ECC4B15" w14:textId="77777777" w:rsidR="006C63A3" w:rsidRDefault="00000000">
      <w:pPr>
        <w:rPr>
          <w:rFonts w:ascii="Calibri" w:hAnsi="Calibri" w:cs="Calibri"/>
        </w:rPr>
      </w:pPr>
      <w:r>
        <w:rPr>
          <w:rFonts w:ascii="Calibri" w:eastAsia="Calibri" w:hAnsi="Calibri" w:cs="Calibri"/>
          <w:b/>
          <w:color w:val="00B0F0"/>
        </w:rPr>
        <w:t>Compétence travaillée dans l’activité</w:t>
      </w:r>
      <w:r>
        <w:rPr>
          <w:rFonts w:ascii="Calibri" w:eastAsia="Calibri" w:hAnsi="Calibri" w:cs="Calibri"/>
          <w:color w:val="00B0F0"/>
        </w:rPr>
        <w:t> </w:t>
      </w:r>
      <w:r>
        <w:rPr>
          <w:rFonts w:ascii="Calibri" w:eastAsia="Calibri" w:hAnsi="Calibri" w:cs="Calibri"/>
        </w:rPr>
        <w:t>: Réaliser un schéma fonctionnel</w:t>
      </w:r>
    </w:p>
    <w:p w14:paraId="4E692764" w14:textId="77777777" w:rsidR="006C63A3" w:rsidRDefault="00000000">
      <w:pPr>
        <w:jc w:val="both"/>
        <w:rPr>
          <w:rFonts w:ascii="Calibri" w:hAnsi="Calibri" w:cs="Calibri"/>
          <w:u w:val="single"/>
        </w:rPr>
      </w:pPr>
      <w:r>
        <w:rPr>
          <w:rFonts w:ascii="Calibri" w:eastAsia="Calibri" w:hAnsi="Calibri" w:cs="Calibri"/>
          <w:b/>
          <w:color w:val="00B0F0"/>
        </w:rPr>
        <w:t>Contexte de l’activité</w:t>
      </w:r>
      <w:r>
        <w:rPr>
          <w:rFonts w:ascii="Calibri" w:eastAsia="Calibri" w:hAnsi="Calibri" w:cs="Calibri"/>
          <w:color w:val="00B0F0"/>
        </w:rPr>
        <w:t> </w:t>
      </w:r>
      <w:r>
        <w:rPr>
          <w:rFonts w:ascii="Calibri" w:eastAsia="Calibri" w:hAnsi="Calibri" w:cs="Calibri"/>
        </w:rPr>
        <w:t xml:space="preserve">: Cette activité peut s’intégrer à une séquence pour co-construire les notions visées. Elle peut </w:t>
      </w:r>
      <w:r>
        <w:rPr>
          <w:rFonts w:ascii="Calibri" w:eastAsia="Calibri" w:hAnsi="Calibri" w:cs="Calibri"/>
          <w:color w:val="000000" w:themeColor="text1"/>
        </w:rPr>
        <w:t xml:space="preserve">faire suite à l’étude du fonctionnement de l’appareil reproducteur féminin. </w:t>
      </w:r>
      <w:r>
        <w:rPr>
          <w:rFonts w:ascii="Calibri" w:eastAsia="Calibri" w:hAnsi="Calibri" w:cs="Calibri"/>
        </w:rPr>
        <w:t>Les élèves doivent donc maîtriser les notions suivantes : la notion d’hormone, les organes reproducteurs de la femme et leur fonction et la chronologie du cycle menstruel.</w:t>
      </w:r>
    </w:p>
    <w:p w14:paraId="3318FB19" w14:textId="77777777" w:rsidR="006C63A3" w:rsidRDefault="00000000">
      <w:pPr>
        <w:rPr>
          <w:rFonts w:ascii="Calibri" w:hAnsi="Calibri" w:cs="Calibri"/>
        </w:rPr>
      </w:pPr>
      <w:r>
        <w:rPr>
          <w:rFonts w:ascii="Calibri" w:eastAsia="Calibri" w:hAnsi="Calibri" w:cs="Calibri"/>
          <w:b/>
          <w:color w:val="00B0F0"/>
        </w:rPr>
        <w:t xml:space="preserve">Contenu de l’activité </w:t>
      </w:r>
      <w:r>
        <w:rPr>
          <w:rFonts w:ascii="Calibri" w:eastAsia="Calibri" w:hAnsi="Calibri" w:cs="Calibri"/>
        </w:rPr>
        <w:t>:</w:t>
      </w:r>
    </w:p>
    <w:p w14:paraId="6065CAC4" w14:textId="34F88F2B" w:rsidR="006C63A3" w:rsidRDefault="00000000">
      <w:pPr>
        <w:rPr>
          <w:rFonts w:ascii="Calibri" w:hAnsi="Calibri" w:cs="Calibri"/>
        </w:rPr>
      </w:pPr>
      <w:r>
        <w:rPr>
          <w:rFonts w:ascii="Calibri" w:eastAsia="Calibri" w:hAnsi="Calibri" w:cs="Calibri"/>
          <w:u w:val="single"/>
        </w:rPr>
        <w:t>Consigne </w:t>
      </w:r>
      <w:r>
        <w:rPr>
          <w:rFonts w:ascii="Calibri" w:eastAsia="Calibri" w:hAnsi="Calibri" w:cs="Calibri"/>
        </w:rPr>
        <w:t xml:space="preserve">: A partir du texte explicatif, </w:t>
      </w:r>
      <w:r>
        <w:rPr>
          <w:rFonts w:ascii="Calibri" w:eastAsia="Calibri" w:hAnsi="Calibri" w:cs="Calibri"/>
          <w:b/>
          <w:bCs/>
        </w:rPr>
        <w:t xml:space="preserve">réaliser un schéma fonctionnel </w:t>
      </w:r>
      <w:r>
        <w:rPr>
          <w:rFonts w:ascii="Calibri" w:eastAsia="Calibri" w:hAnsi="Calibri" w:cs="Calibri"/>
        </w:rPr>
        <w:t>du contrôle hormonal du cycle menstruel chez l</w:t>
      </w:r>
      <w:r w:rsidR="002D7B1E">
        <w:rPr>
          <w:rFonts w:ascii="Calibri" w:eastAsia="Calibri" w:hAnsi="Calibri" w:cs="Calibri"/>
        </w:rPr>
        <w:t>a</w:t>
      </w:r>
      <w:r>
        <w:rPr>
          <w:rFonts w:ascii="Calibri" w:eastAsia="Calibri" w:hAnsi="Calibri" w:cs="Calibri"/>
        </w:rPr>
        <w:t xml:space="preserve"> femme.</w:t>
      </w:r>
    </w:p>
    <w:p w14:paraId="3C20B57E" w14:textId="77777777" w:rsidR="006C63A3" w:rsidRDefault="00000000">
      <w:pPr>
        <w:rPr>
          <w:rFonts w:ascii="Calibri" w:hAnsi="Calibri" w:cs="Calibri"/>
          <w:color w:val="FF0000"/>
        </w:rPr>
      </w:pPr>
      <w:r>
        <w:rPr>
          <w:rFonts w:ascii="Calibri" w:eastAsia="Calibri" w:hAnsi="Calibri" w:cs="Calibri"/>
          <w:u w:val="single"/>
        </w:rPr>
        <w:t>Document</w:t>
      </w:r>
      <w:r>
        <w:rPr>
          <w:rFonts w:ascii="Calibri" w:eastAsia="Calibri" w:hAnsi="Calibri" w:cs="Calibri"/>
        </w:rPr>
        <w:t> : Texte explicatif sur le contrôle hormonal du cycle menstruel</w:t>
      </w:r>
    </w:p>
    <w:p w14:paraId="4DDF7904" w14:textId="77777777" w:rsidR="006C63A3" w:rsidRDefault="00000000">
      <w:pPr>
        <w:spacing w:after="200" w:line="276" w:lineRule="auto"/>
        <w:jc w:val="both"/>
        <w:rPr>
          <w:rFonts w:ascii="Calibri" w:hAnsi="Calibri" w:cs="Calibri"/>
        </w:rPr>
      </w:pPr>
      <w:r>
        <w:rPr>
          <w:rFonts w:ascii="Calibri" w:eastAsia="Calibri" w:hAnsi="Calibri" w:cs="Calibri"/>
        </w:rPr>
        <w:t>Dans le cerveau, un organe appelé hypothalamus sécrète une hormone, la GnRH, qui contrôle le fonctionnement d’un autre organe : l’hypophyse. Sous l’effet de la GnRH, l’hypophyse libère deux hormones, la FSH et la LH, qui vont à leur tour réguler le fonctionnement d’organes plus distants : les ovaires. Ces derniers produisent à leur tour une hormone, l’œstrogène (ou estradiol).</w:t>
      </w:r>
    </w:p>
    <w:p w14:paraId="11326AEB" w14:textId="77777777" w:rsidR="006C63A3" w:rsidRDefault="00000000">
      <w:pPr>
        <w:spacing w:after="200" w:line="276" w:lineRule="auto"/>
        <w:jc w:val="both"/>
        <w:rPr>
          <w:rFonts w:ascii="Calibri" w:hAnsi="Calibri" w:cs="Calibri"/>
        </w:rPr>
      </w:pPr>
      <w:r>
        <w:rPr>
          <w:rFonts w:ascii="Calibri" w:eastAsia="Calibri" w:hAnsi="Calibri" w:cs="Calibri"/>
        </w:rPr>
        <w:t xml:space="preserve">L’augmentation du taux d’œstrogène dans le corps assure dans un premier temps l’épaississement de la muqueuse utérine (ou endomètre). Elle permet ensuite un événement clé, l’ovulation, qui survient généralement vers le 14ᵉ jour du cycle. </w:t>
      </w:r>
    </w:p>
    <w:p w14:paraId="563C7264" w14:textId="77777777" w:rsidR="006C63A3" w:rsidRDefault="00000000">
      <w:pPr>
        <w:spacing w:after="200" w:line="276" w:lineRule="auto"/>
        <w:jc w:val="both"/>
        <w:rPr>
          <w:rFonts w:ascii="Calibri" w:hAnsi="Calibri" w:cs="Calibri"/>
        </w:rPr>
      </w:pPr>
      <w:r>
        <w:rPr>
          <w:rFonts w:ascii="Calibri" w:eastAsia="Calibri" w:hAnsi="Calibri" w:cs="Calibri"/>
        </w:rPr>
        <w:t>Après l’ovulation, l’ovaire augmente la production de progestérone, une autre hormone, qui favorise la maturation de la muqueuse utérine. À ce stade, certaines femmes peuvent ressentir des symptômes du syndrome prémenstruel tels que des douleurs aux seins, des ballonnements, de la léthargie, de la dépression et de l’irritabilité.</w:t>
      </w:r>
    </w:p>
    <w:p w14:paraId="67FD48EF" w14:textId="77777777" w:rsidR="006C63A3" w:rsidRDefault="00000000">
      <w:pPr>
        <w:spacing w:after="200" w:line="276" w:lineRule="auto"/>
        <w:jc w:val="both"/>
        <w:rPr>
          <w:rFonts w:ascii="Calibri" w:hAnsi="Calibri" w:cs="Calibri"/>
        </w:rPr>
      </w:pPr>
      <w:r>
        <w:rPr>
          <w:rFonts w:ascii="Calibri" w:eastAsia="Calibri" w:hAnsi="Calibri" w:cs="Calibri"/>
        </w:rPr>
        <w:t>Si aucune cellule-œuf ne s’implante dans l’utérus, les taux d’œstrogène et de progestérone chutent à partir du 23</w:t>
      </w:r>
      <w:r>
        <w:rPr>
          <w:rFonts w:ascii="Calibri" w:eastAsia="Calibri" w:hAnsi="Calibri" w:cs="Calibri"/>
          <w:vertAlign w:val="superscript"/>
        </w:rPr>
        <w:t>e</w:t>
      </w:r>
      <w:r>
        <w:rPr>
          <w:rFonts w:ascii="Calibri" w:eastAsia="Calibri" w:hAnsi="Calibri" w:cs="Calibri"/>
        </w:rPr>
        <w:t xml:space="preserve"> jour du cycle. En l’absence de ces hormones à des niveaux élevés, la muqueuse utérine épaissie commence à se détacher et est éliminée par le corps. Ce processus marque le début d’un nouveau cycle et l’apparition des règles.</w:t>
      </w:r>
    </w:p>
    <w:p w14:paraId="7AE3D429" w14:textId="77777777" w:rsidR="006C63A3" w:rsidRDefault="006C63A3">
      <w:pPr>
        <w:spacing w:after="200" w:line="276" w:lineRule="auto"/>
        <w:jc w:val="both"/>
        <w:rPr>
          <w:rFonts w:ascii="Calibri" w:hAnsi="Calibri" w:cs="Calibri"/>
        </w:rPr>
      </w:pPr>
    </w:p>
    <w:p w14:paraId="114F12D9" w14:textId="77777777" w:rsidR="006C63A3" w:rsidRDefault="00000000">
      <w:pPr>
        <w:rPr>
          <w:rFonts w:ascii="Calibri" w:hAnsi="Calibri" w:cs="Calibri"/>
        </w:rPr>
      </w:pPr>
      <w:r>
        <w:rPr>
          <w:rFonts w:ascii="Calibri" w:eastAsia="Calibri" w:hAnsi="Calibri" w:cs="Calibri"/>
          <w:b/>
          <w:color w:val="00B0F0"/>
        </w:rPr>
        <w:t xml:space="preserve">Critères de réussite de la compétence travaillée </w:t>
      </w:r>
      <w:r>
        <w:rPr>
          <w:rFonts w:ascii="Calibri" w:eastAsia="Calibri" w:hAnsi="Calibri" w:cs="Calibri"/>
        </w:rPr>
        <w:t xml:space="preserve">: </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8562"/>
        <w:gridCol w:w="1503"/>
      </w:tblGrid>
      <w:tr w:rsidR="006C63A3" w14:paraId="791CAEEB" w14:textId="77777777">
        <w:trPr>
          <w:trHeight w:val="392"/>
        </w:trPr>
        <w:tc>
          <w:tcPr>
            <w:tcW w:w="8562" w:type="dxa"/>
            <w:tcBorders>
              <w:top w:val="single" w:sz="4" w:space="0" w:color="000000"/>
              <w:left w:val="single" w:sz="4" w:space="0" w:color="000000"/>
              <w:bottom w:val="single" w:sz="4" w:space="0" w:color="000000"/>
              <w:right w:val="single" w:sz="4" w:space="0" w:color="000000"/>
            </w:tcBorders>
            <w:shd w:val="clear" w:color="BDD6EE" w:fill="B4C6E7"/>
          </w:tcPr>
          <w:p w14:paraId="2192BC51" w14:textId="77777777" w:rsidR="006C63A3" w:rsidRDefault="00000000">
            <w:pPr>
              <w:spacing w:after="0" w:line="240" w:lineRule="auto"/>
              <w:jc w:val="center"/>
              <w:rPr>
                <w:rFonts w:ascii="Calibri" w:hAnsi="Calibri" w:cs="Calibri"/>
                <w:b/>
              </w:rPr>
            </w:pPr>
            <w:r>
              <w:rPr>
                <w:rFonts w:ascii="Calibri" w:eastAsia="Calibri" w:hAnsi="Calibri" w:cs="Calibri"/>
                <w:b/>
              </w:rPr>
              <w:t xml:space="preserve">Mon schéma fonctionnel est correctement construit si : </w:t>
            </w:r>
          </w:p>
          <w:p w14:paraId="154F2CB8" w14:textId="77777777" w:rsidR="006C63A3" w:rsidRDefault="00000000">
            <w:pPr>
              <w:spacing w:after="0" w:line="240" w:lineRule="auto"/>
              <w:jc w:val="right"/>
              <w:rPr>
                <w:rFonts w:ascii="Calibri" w:hAnsi="Calibri" w:cs="Calibri"/>
                <w:b/>
              </w:rPr>
            </w:pPr>
            <w:r>
              <w:rPr>
                <w:rFonts w:ascii="Calibri" w:eastAsia="Calibri" w:hAnsi="Calibri" w:cs="Calibri"/>
                <w:b/>
              </w:rPr>
              <w:t>+/-</w:t>
            </w:r>
          </w:p>
        </w:tc>
        <w:tc>
          <w:tcPr>
            <w:tcW w:w="1503" w:type="dxa"/>
            <w:tcBorders>
              <w:top w:val="single" w:sz="4" w:space="0" w:color="000000"/>
              <w:left w:val="single" w:sz="4" w:space="0" w:color="000000"/>
              <w:bottom w:val="single" w:sz="4" w:space="0" w:color="000000"/>
              <w:right w:val="single" w:sz="4" w:space="0" w:color="000000"/>
            </w:tcBorders>
            <w:shd w:val="clear" w:color="BDD6EE" w:fill="B4C6E7"/>
          </w:tcPr>
          <w:p w14:paraId="197358A7" w14:textId="77777777" w:rsidR="006C63A3" w:rsidRDefault="00000000">
            <w:pPr>
              <w:spacing w:after="0" w:line="240" w:lineRule="auto"/>
              <w:jc w:val="center"/>
              <w:rPr>
                <w:rFonts w:ascii="Calibri" w:hAnsi="Calibri" w:cs="Calibri"/>
                <w:b/>
              </w:rPr>
            </w:pPr>
            <w:r>
              <w:rPr>
                <w:rFonts w:ascii="Calibri" w:eastAsia="Calibri" w:hAnsi="Calibri" w:cs="Calibri"/>
                <w:b/>
              </w:rPr>
              <w:t>Evaluation</w:t>
            </w:r>
          </w:p>
        </w:tc>
      </w:tr>
      <w:tr w:rsidR="006C63A3" w14:paraId="219A057A" w14:textId="77777777">
        <w:trPr>
          <w:trHeight w:val="887"/>
        </w:trPr>
        <w:tc>
          <w:tcPr>
            <w:tcW w:w="8562" w:type="dxa"/>
            <w:tcBorders>
              <w:top w:val="single" w:sz="4" w:space="0" w:color="000000"/>
              <w:left w:val="single" w:sz="4" w:space="0" w:color="000000"/>
              <w:bottom w:val="single" w:sz="4" w:space="0" w:color="000000"/>
              <w:right w:val="single" w:sz="4" w:space="0" w:color="000000"/>
            </w:tcBorders>
          </w:tcPr>
          <w:p w14:paraId="5C6F6CAC" w14:textId="77777777" w:rsidR="006C63A3" w:rsidRDefault="00000000">
            <w:pPr>
              <w:jc w:val="both"/>
              <w:rPr>
                <w:rFonts w:ascii="Calibri" w:hAnsi="Calibri" w:cs="Calibri"/>
              </w:rPr>
            </w:pPr>
            <w:r>
              <w:rPr>
                <w:rFonts w:ascii="Calibri" w:eastAsia="Calibri" w:hAnsi="Calibri" w:cs="Calibri"/>
                <w:u w:val="single"/>
              </w:rPr>
              <w:t>PERTINENCE</w:t>
            </w:r>
            <w:r>
              <w:rPr>
                <w:rFonts w:ascii="Calibri" w:eastAsia="Calibri" w:hAnsi="Calibri" w:cs="Calibri"/>
                <w:spacing w:val="-6"/>
              </w:rPr>
              <w:t xml:space="preserve"> </w:t>
            </w:r>
            <w:r>
              <w:rPr>
                <w:rFonts w:ascii="Calibri" w:eastAsia="Calibri" w:hAnsi="Calibri" w:cs="Calibri"/>
              </w:rPr>
              <w:t xml:space="preserve">: J’ai seulement représenté les </w:t>
            </w:r>
            <w:r>
              <w:rPr>
                <w:rFonts w:ascii="Calibri" w:eastAsia="Calibri" w:hAnsi="Calibri" w:cs="Calibri"/>
                <w:b/>
              </w:rPr>
              <w:t>structures</w:t>
            </w:r>
            <w:r>
              <w:rPr>
                <w:rFonts w:ascii="Calibri" w:eastAsia="Calibri" w:hAnsi="Calibri" w:cs="Calibri"/>
              </w:rPr>
              <w:t xml:space="preserve"> et les </w:t>
            </w:r>
            <w:r>
              <w:rPr>
                <w:rFonts w:ascii="Calibri" w:eastAsia="Calibri" w:hAnsi="Calibri" w:cs="Calibri"/>
                <w:b/>
              </w:rPr>
              <w:t>mises en relations essentielles</w:t>
            </w:r>
            <w:r>
              <w:rPr>
                <w:rFonts w:ascii="Calibri" w:eastAsia="Calibri" w:hAnsi="Calibri" w:cs="Calibri"/>
              </w:rPr>
              <w:t xml:space="preserve"> à la compréhension du mécanisme. Mon schéma </w:t>
            </w:r>
            <w:r>
              <w:rPr>
                <w:rFonts w:ascii="Calibri" w:eastAsia="Calibri" w:hAnsi="Calibri" w:cs="Calibri"/>
                <w:b/>
              </w:rPr>
              <w:t>permet ainsi de répondre à la question ou au problème scientifique posé</w:t>
            </w:r>
            <w:r>
              <w:rPr>
                <w:rFonts w:ascii="Calibri" w:eastAsia="Calibri" w:hAnsi="Calibri" w:cs="Calibri"/>
              </w:rPr>
              <w:t>.</w:t>
            </w:r>
          </w:p>
        </w:tc>
        <w:tc>
          <w:tcPr>
            <w:tcW w:w="1503" w:type="dxa"/>
            <w:tcBorders>
              <w:top w:val="single" w:sz="4" w:space="0" w:color="000000"/>
              <w:left w:val="single" w:sz="4" w:space="0" w:color="000000"/>
              <w:bottom w:val="single" w:sz="4" w:space="0" w:color="000000"/>
              <w:right w:val="single" w:sz="4" w:space="0" w:color="000000"/>
            </w:tcBorders>
          </w:tcPr>
          <w:p w14:paraId="39A8F3B4" w14:textId="77777777" w:rsidR="006C63A3" w:rsidRDefault="006C63A3">
            <w:pPr>
              <w:jc w:val="center"/>
              <w:rPr>
                <w:rFonts w:ascii="Calibri" w:hAnsi="Calibri" w:cs="Calibri"/>
              </w:rPr>
            </w:pPr>
          </w:p>
        </w:tc>
      </w:tr>
      <w:tr w:rsidR="006C63A3" w14:paraId="33BC0E96" w14:textId="77777777">
        <w:trPr>
          <w:trHeight w:val="581"/>
        </w:trPr>
        <w:tc>
          <w:tcPr>
            <w:tcW w:w="8562" w:type="dxa"/>
            <w:tcBorders>
              <w:top w:val="single" w:sz="4" w:space="0" w:color="000000"/>
              <w:left w:val="single" w:sz="4" w:space="0" w:color="000000"/>
              <w:bottom w:val="single" w:sz="4" w:space="0" w:color="000000"/>
              <w:right w:val="single" w:sz="4" w:space="0" w:color="000000"/>
            </w:tcBorders>
          </w:tcPr>
          <w:p w14:paraId="2CD0DEEE" w14:textId="77777777" w:rsidR="006C63A3" w:rsidRDefault="00000000">
            <w:pPr>
              <w:jc w:val="both"/>
              <w:rPr>
                <w:rFonts w:ascii="Calibri" w:hAnsi="Calibri" w:cs="Calibri"/>
              </w:rPr>
            </w:pPr>
            <w:r>
              <w:rPr>
                <w:rFonts w:ascii="Calibri" w:eastAsia="Calibri" w:hAnsi="Calibri" w:cs="Calibri"/>
                <w:u w:val="single"/>
              </w:rPr>
              <w:t>COMPLETUDE</w:t>
            </w:r>
            <w:r>
              <w:rPr>
                <w:rFonts w:ascii="Calibri" w:eastAsia="Calibri" w:hAnsi="Calibri" w:cs="Calibri"/>
              </w:rPr>
              <w:t xml:space="preserve"> : Toutes les </w:t>
            </w:r>
            <w:r>
              <w:rPr>
                <w:rFonts w:ascii="Calibri" w:eastAsia="Calibri" w:hAnsi="Calibri" w:cs="Calibri"/>
                <w:b/>
              </w:rPr>
              <w:t>structures</w:t>
            </w:r>
            <w:r>
              <w:rPr>
                <w:rFonts w:ascii="Calibri" w:eastAsia="Calibri" w:hAnsi="Calibri" w:cs="Calibri"/>
              </w:rPr>
              <w:t xml:space="preserve"> et les </w:t>
            </w:r>
            <w:r>
              <w:rPr>
                <w:rFonts w:ascii="Calibri" w:eastAsia="Calibri" w:hAnsi="Calibri" w:cs="Calibri"/>
                <w:b/>
              </w:rPr>
              <w:t>mises en relation importantes</w:t>
            </w:r>
            <w:r>
              <w:rPr>
                <w:rFonts w:ascii="Calibri" w:eastAsia="Calibri" w:hAnsi="Calibri" w:cs="Calibri"/>
              </w:rPr>
              <w:t xml:space="preserve"> sont représentées et identifiables sur mon schéma.</w:t>
            </w:r>
          </w:p>
        </w:tc>
        <w:tc>
          <w:tcPr>
            <w:tcW w:w="1503" w:type="dxa"/>
            <w:tcBorders>
              <w:top w:val="single" w:sz="4" w:space="0" w:color="000000"/>
              <w:left w:val="single" w:sz="4" w:space="0" w:color="000000"/>
              <w:bottom w:val="single" w:sz="4" w:space="0" w:color="000000"/>
              <w:right w:val="single" w:sz="4" w:space="0" w:color="000000"/>
            </w:tcBorders>
          </w:tcPr>
          <w:p w14:paraId="6405207C" w14:textId="77777777" w:rsidR="006C63A3" w:rsidRDefault="006C63A3">
            <w:pPr>
              <w:jc w:val="center"/>
              <w:rPr>
                <w:rFonts w:ascii="Calibri" w:hAnsi="Calibri" w:cs="Calibri"/>
              </w:rPr>
            </w:pPr>
          </w:p>
        </w:tc>
      </w:tr>
      <w:tr w:rsidR="006C63A3" w14:paraId="20629D3A" w14:textId="77777777">
        <w:trPr>
          <w:trHeight w:val="581"/>
        </w:trPr>
        <w:tc>
          <w:tcPr>
            <w:tcW w:w="8562" w:type="dxa"/>
            <w:tcBorders>
              <w:top w:val="single" w:sz="4" w:space="0" w:color="000000"/>
              <w:left w:val="single" w:sz="4" w:space="0" w:color="000000"/>
              <w:bottom w:val="single" w:sz="4" w:space="0" w:color="000000"/>
              <w:right w:val="single" w:sz="4" w:space="0" w:color="000000"/>
            </w:tcBorders>
          </w:tcPr>
          <w:p w14:paraId="50886CA7" w14:textId="77777777" w:rsidR="006C63A3" w:rsidRDefault="00000000">
            <w:pPr>
              <w:spacing w:after="0" w:line="240" w:lineRule="auto"/>
              <w:jc w:val="both"/>
              <w:rPr>
                <w:rFonts w:ascii="Calibri" w:hAnsi="Calibri" w:cs="Calibri"/>
              </w:rPr>
            </w:pPr>
            <w:r>
              <w:rPr>
                <w:rFonts w:ascii="Calibri" w:eastAsia="Calibri" w:hAnsi="Calibri" w:cs="Calibri"/>
                <w:u w:val="single"/>
              </w:rPr>
              <w:lastRenderedPageBreak/>
              <w:t>EXACTITUDE</w:t>
            </w:r>
            <w:r>
              <w:rPr>
                <w:rFonts w:ascii="Calibri" w:eastAsia="Calibri" w:hAnsi="Calibri" w:cs="Calibri"/>
              </w:rPr>
              <w:t xml:space="preserve"> : Les structures sont </w:t>
            </w:r>
            <w:r>
              <w:rPr>
                <w:rFonts w:ascii="Calibri" w:eastAsia="Calibri" w:hAnsi="Calibri" w:cs="Calibri"/>
                <w:b/>
              </w:rPr>
              <w:t>correctement reliées entre elles</w:t>
            </w:r>
            <w:r>
              <w:rPr>
                <w:rFonts w:ascii="Calibri" w:eastAsia="Calibri" w:hAnsi="Calibri" w:cs="Calibri"/>
              </w:rPr>
              <w:t xml:space="preserve"> ; les </w:t>
            </w:r>
            <w:r>
              <w:rPr>
                <w:rFonts w:ascii="Calibri" w:eastAsia="Calibri" w:hAnsi="Calibri" w:cs="Calibri"/>
                <w:b/>
              </w:rPr>
              <w:t xml:space="preserve">légendes </w:t>
            </w:r>
            <w:r>
              <w:rPr>
                <w:rFonts w:ascii="Calibri" w:eastAsia="Calibri" w:hAnsi="Calibri" w:cs="Calibri"/>
              </w:rPr>
              <w:t xml:space="preserve">indiquées sont </w:t>
            </w:r>
            <w:r>
              <w:rPr>
                <w:rFonts w:ascii="Calibri" w:eastAsia="Calibri" w:hAnsi="Calibri" w:cs="Calibri"/>
                <w:b/>
              </w:rPr>
              <w:t>justes</w:t>
            </w:r>
            <w:r>
              <w:rPr>
                <w:rFonts w:ascii="Calibri" w:eastAsia="Calibri" w:hAnsi="Calibri" w:cs="Calibri"/>
              </w:rPr>
              <w:t>.</w:t>
            </w:r>
          </w:p>
        </w:tc>
        <w:tc>
          <w:tcPr>
            <w:tcW w:w="1503" w:type="dxa"/>
            <w:tcBorders>
              <w:top w:val="single" w:sz="4" w:space="0" w:color="000000"/>
              <w:left w:val="single" w:sz="4" w:space="0" w:color="000000"/>
              <w:bottom w:val="single" w:sz="4" w:space="0" w:color="000000"/>
              <w:right w:val="single" w:sz="4" w:space="0" w:color="000000"/>
            </w:tcBorders>
          </w:tcPr>
          <w:p w14:paraId="1CBD2C8B" w14:textId="77777777" w:rsidR="006C63A3" w:rsidRDefault="006C63A3">
            <w:pPr>
              <w:jc w:val="center"/>
              <w:rPr>
                <w:rFonts w:ascii="Calibri" w:hAnsi="Calibri" w:cs="Calibri"/>
              </w:rPr>
            </w:pPr>
          </w:p>
        </w:tc>
      </w:tr>
      <w:tr w:rsidR="006C63A3" w14:paraId="38E4EBCC" w14:textId="77777777">
        <w:trPr>
          <w:trHeight w:val="581"/>
        </w:trPr>
        <w:tc>
          <w:tcPr>
            <w:tcW w:w="8562" w:type="dxa"/>
            <w:tcBorders>
              <w:top w:val="single" w:sz="4" w:space="0" w:color="000000"/>
              <w:left w:val="single" w:sz="4" w:space="0" w:color="000000"/>
              <w:bottom w:val="single" w:sz="4" w:space="0" w:color="000000"/>
              <w:right w:val="single" w:sz="4" w:space="0" w:color="000000"/>
            </w:tcBorders>
          </w:tcPr>
          <w:p w14:paraId="02366D8D" w14:textId="77777777" w:rsidR="006C63A3" w:rsidRDefault="00000000">
            <w:pPr>
              <w:jc w:val="both"/>
              <w:rPr>
                <w:rFonts w:ascii="Calibri" w:hAnsi="Calibri" w:cs="Calibri"/>
              </w:rPr>
            </w:pPr>
            <w:r>
              <w:rPr>
                <w:rFonts w:ascii="Calibri" w:eastAsia="Calibri" w:hAnsi="Calibri" w:cs="Calibri"/>
                <w:u w:val="single"/>
              </w:rPr>
              <w:t>CONFORMITE</w:t>
            </w:r>
            <w:r>
              <w:rPr>
                <w:rFonts w:ascii="Calibri" w:eastAsia="Calibri" w:hAnsi="Calibri" w:cs="Calibri"/>
                <w:spacing w:val="-11"/>
              </w:rPr>
              <w:t xml:space="preserve"> </w:t>
            </w:r>
            <w:r>
              <w:rPr>
                <w:rFonts w:ascii="Calibri" w:eastAsia="Calibri" w:hAnsi="Calibri" w:cs="Calibri"/>
              </w:rPr>
              <w:t xml:space="preserve">: Mon schéma comporte un </w:t>
            </w:r>
            <w:r>
              <w:rPr>
                <w:rFonts w:ascii="Calibri" w:eastAsia="Calibri" w:hAnsi="Calibri" w:cs="Calibri"/>
                <w:b/>
              </w:rPr>
              <w:t>titre</w:t>
            </w:r>
            <w:r>
              <w:rPr>
                <w:rFonts w:ascii="Calibri" w:eastAsia="Calibri" w:hAnsi="Calibri" w:cs="Calibri"/>
              </w:rPr>
              <w:t xml:space="preserve">, des légendes et une </w:t>
            </w:r>
            <w:r>
              <w:rPr>
                <w:rFonts w:ascii="Calibri" w:eastAsia="Calibri" w:hAnsi="Calibri" w:cs="Calibri"/>
                <w:b/>
              </w:rPr>
              <w:t>partie dessinée/schématisée</w:t>
            </w:r>
            <w:r>
              <w:rPr>
                <w:rFonts w:ascii="Calibri" w:eastAsia="Calibri" w:hAnsi="Calibri" w:cs="Calibri"/>
              </w:rPr>
              <w:t xml:space="preserve"> (formes géométriques possibles) qui indique le </w:t>
            </w:r>
            <w:r>
              <w:rPr>
                <w:rFonts w:ascii="Calibri" w:eastAsia="Calibri" w:hAnsi="Calibri" w:cs="Calibri"/>
                <w:b/>
              </w:rPr>
              <w:t>fonctionnement</w:t>
            </w:r>
            <w:r>
              <w:rPr>
                <w:rFonts w:ascii="Calibri" w:eastAsia="Calibri" w:hAnsi="Calibri" w:cs="Calibri"/>
              </w:rPr>
              <w:t xml:space="preserve"> de l’objet scientifique étudié.</w:t>
            </w:r>
          </w:p>
        </w:tc>
        <w:tc>
          <w:tcPr>
            <w:tcW w:w="1503" w:type="dxa"/>
            <w:tcBorders>
              <w:top w:val="single" w:sz="4" w:space="0" w:color="000000"/>
              <w:left w:val="single" w:sz="4" w:space="0" w:color="000000"/>
              <w:bottom w:val="single" w:sz="4" w:space="0" w:color="000000"/>
              <w:right w:val="single" w:sz="4" w:space="0" w:color="000000"/>
            </w:tcBorders>
          </w:tcPr>
          <w:p w14:paraId="7D156587" w14:textId="77777777" w:rsidR="006C63A3" w:rsidRDefault="006C63A3">
            <w:pPr>
              <w:jc w:val="center"/>
              <w:rPr>
                <w:rFonts w:ascii="Calibri" w:hAnsi="Calibri" w:cs="Calibri"/>
              </w:rPr>
            </w:pPr>
          </w:p>
        </w:tc>
      </w:tr>
    </w:tbl>
    <w:p w14:paraId="4136D656" w14:textId="77777777" w:rsidR="006C63A3" w:rsidRDefault="006C63A3">
      <w:pPr>
        <w:rPr>
          <w:rFonts w:ascii="Calibri" w:hAnsi="Calibri" w:cs="Calibri"/>
          <w:color w:val="FF0000"/>
        </w:rPr>
      </w:pPr>
    </w:p>
    <w:p w14:paraId="6FC98A4A" w14:textId="77777777" w:rsidR="006C63A3" w:rsidRDefault="00000000">
      <w:pPr>
        <w:rPr>
          <w:rFonts w:ascii="Calibri" w:hAnsi="Calibri" w:cs="Calibri"/>
          <w:b/>
          <w:color w:val="00B0F0"/>
        </w:rPr>
      </w:pPr>
      <w:r>
        <w:rPr>
          <w:rFonts w:ascii="Calibri" w:eastAsia="Calibri" w:hAnsi="Calibri" w:cs="Calibri"/>
          <w:b/>
          <w:color w:val="00B0F0"/>
        </w:rPr>
        <w:t>Activités complémentaires possibles :</w:t>
      </w:r>
    </w:p>
    <w:p w14:paraId="21CB2C0D" w14:textId="77777777" w:rsidR="006C63A3" w:rsidRDefault="00000000">
      <w:pPr>
        <w:rPr>
          <w:rFonts w:ascii="Calibri" w:hAnsi="Calibri" w:cs="Calibri"/>
          <w:color w:val="000000" w:themeColor="text1"/>
        </w:rPr>
      </w:pPr>
      <w:r>
        <w:rPr>
          <w:rFonts w:ascii="Calibri" w:eastAsia="Calibri" w:hAnsi="Calibri" w:cs="Calibri"/>
          <w:color w:val="000000" w:themeColor="text1"/>
        </w:rPr>
        <w:t>En amont : Construire le texte explicatif à partir d’un ensemble de documents.</w:t>
      </w:r>
    </w:p>
    <w:p w14:paraId="0A65A93F" w14:textId="77777777" w:rsidR="006C63A3" w:rsidRDefault="00000000">
      <w:pPr>
        <w:rPr>
          <w:rFonts w:ascii="Calibri" w:hAnsi="Calibri" w:cs="Calibri"/>
          <w:color w:val="000000" w:themeColor="text1"/>
        </w:rPr>
      </w:pPr>
      <w:r>
        <w:rPr>
          <w:rFonts w:ascii="Calibri" w:eastAsia="Calibri" w:hAnsi="Calibri" w:cs="Calibri"/>
          <w:color w:val="000000" w:themeColor="text1"/>
        </w:rPr>
        <w:t xml:space="preserve">En aval : À partir d’un texte explicatif, </w:t>
      </w:r>
      <w:r>
        <w:rPr>
          <w:rFonts w:ascii="Calibri" w:eastAsia="Calibri" w:hAnsi="Calibri" w:cs="Calibri"/>
          <w:b/>
          <w:bCs/>
          <w:color w:val="000000" w:themeColor="text1"/>
        </w:rPr>
        <w:t xml:space="preserve">réaliser un schéma fonctionnel </w:t>
      </w:r>
      <w:r>
        <w:rPr>
          <w:rFonts w:ascii="Calibri" w:eastAsia="Calibri" w:hAnsi="Calibri" w:cs="Calibri"/>
          <w:color w:val="000000" w:themeColor="text1"/>
        </w:rPr>
        <w:t>du contrôle hormonal du cycle menstruel chez l’homme</w:t>
      </w:r>
    </w:p>
    <w:p w14:paraId="791A840A" w14:textId="77777777" w:rsidR="006C63A3" w:rsidRDefault="00000000">
      <w:pPr>
        <w:rPr>
          <w:rFonts w:ascii="Calibri" w:hAnsi="Calibri" w:cs="Calibri"/>
          <w:color w:val="000000" w:themeColor="text1"/>
        </w:rPr>
      </w:pPr>
      <w:r>
        <w:rPr>
          <w:rFonts w:ascii="Calibri" w:hAnsi="Calibri" w:cs="Calibri"/>
          <w:color w:val="000000" w:themeColor="text1"/>
        </w:rPr>
        <w:br w:type="page" w:clear="all"/>
      </w:r>
    </w:p>
    <w:p w14:paraId="09486FA5" w14:textId="77777777" w:rsidR="006C63A3" w:rsidRDefault="00000000">
      <w:pPr>
        <w:rPr>
          <w:rFonts w:ascii="Calibri" w:hAnsi="Calibri" w:cs="Calibri"/>
        </w:rPr>
      </w:pPr>
      <w:r>
        <w:rPr>
          <w:rFonts w:ascii="Calibri" w:eastAsia="Calibri" w:hAnsi="Calibri" w:cs="Calibri"/>
          <w:b/>
          <w:color w:val="00B0F0"/>
        </w:rPr>
        <w:lastRenderedPageBreak/>
        <w:t>ANNEXES </w:t>
      </w:r>
      <w:r>
        <w:rPr>
          <w:rFonts w:ascii="Calibri" w:eastAsia="Calibri" w:hAnsi="Calibri" w:cs="Calibri"/>
        </w:rPr>
        <w:t xml:space="preserve">: </w:t>
      </w:r>
    </w:p>
    <w:p w14:paraId="3AEFB1BB" w14:textId="77777777" w:rsidR="006C63A3" w:rsidRDefault="00000000">
      <w:pPr>
        <w:rPr>
          <w:rFonts w:ascii="Calibri" w:hAnsi="Calibri" w:cs="Calibri"/>
          <w:u w:val="single"/>
        </w:rPr>
      </w:pPr>
      <w:r>
        <w:rPr>
          <w:rFonts w:ascii="Calibri" w:eastAsia="Calibri" w:hAnsi="Calibri" w:cs="Calibri"/>
          <w:u w:val="single"/>
        </w:rPr>
        <w:t>Différenciation possible sur la lecture / compréhension du texte explicatif</w:t>
      </w:r>
    </w:p>
    <w:p w14:paraId="188233E5" w14:textId="77777777" w:rsidR="006C63A3" w:rsidRDefault="00000000">
      <w:pPr>
        <w:jc w:val="both"/>
        <w:rPr>
          <w:rFonts w:ascii="Calibri" w:hAnsi="Calibri" w:cs="Calibri"/>
        </w:rPr>
      </w:pPr>
      <w:r>
        <w:rPr>
          <w:rFonts w:ascii="Calibri" w:eastAsia="Calibri" w:hAnsi="Calibri" w:cs="Calibri"/>
          <w:noProof/>
        </w:rPr>
        <mc:AlternateContent>
          <mc:Choice Requires="wpg">
            <w:drawing>
              <wp:anchor distT="0" distB="0" distL="115200" distR="115200" simplePos="0" relativeHeight="2048" behindDoc="0" locked="0" layoutInCell="1" allowOverlap="1" wp14:anchorId="04BDC294" wp14:editId="7EDE56D1">
                <wp:simplePos x="0" y="0"/>
                <wp:positionH relativeFrom="column">
                  <wp:posOffset>2502985</wp:posOffset>
                </wp:positionH>
                <wp:positionV relativeFrom="paragraph">
                  <wp:posOffset>323905</wp:posOffset>
                </wp:positionV>
                <wp:extent cx="1420362" cy="1420362"/>
                <wp:effectExtent l="0" t="0" r="0" b="0"/>
                <wp:wrapThrough wrapText="bothSides">
                  <wp:wrapPolygon edited="1">
                    <wp:start x="0" y="0"/>
                    <wp:lineTo x="21600" y="0"/>
                    <wp:lineTo x="21600" y="21600"/>
                    <wp:lineTo x="0" y="21600"/>
                  </wp:wrapPolygon>
                </wp:wrapThrough>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440517" name="Picture 1"/>
                        <pic:cNvPicPr>
                          <a:picLocks noChangeAspect="1"/>
                        </pic:cNvPicPr>
                      </pic:nvPicPr>
                      <pic:blipFill rotWithShape="1">
                        <a:blip r:embed="rId7">
                          <a:extLst>
                            <a:ext uri="{96DAC541-7B7A-43D3-8B79-37D633B846F1}">
                              <asvg:svgBlip xmlns:asvg="http://schemas.microsoft.com/office/drawing/2016/SVG/main" r:embed="rId8"/>
                            </a:ext>
                          </a:extLst>
                        </a:blip>
                        <a:stretch/>
                      </pic:blipFill>
                      <pic:spPr bwMode="auto">
                        <a:xfrm>
                          <a:off x="0" y="0"/>
                          <a:ext cx="1420362" cy="1420362"/>
                        </a:xfrm>
                        <a:prstGeom prst="rect">
                          <a:avLst/>
                        </a:prstGeom>
                        <a:noFill/>
                        <a:ln>
                          <a:noFill/>
                        </a:ln>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048;o:allowoverlap:true;o:allowincell:true;mso-position-horizontal-relative:text;margin-left:197.09pt;mso-position-horizontal:absolute;mso-position-vertical-relative:text;margin-top:25.50pt;mso-position-vertical:absolute;width:111.84pt;height:111.84pt;mso-wrap-distance-left:9.07pt;mso-wrap-distance-top:0.00pt;mso-wrap-distance-right:9.07pt;mso-wrap-distance-bottom:0.00pt;z-index:1;" wrapcoords="0 0 100000 0 100000 100000 0 100000" stroked="f">
                <w10:wrap type="through"/>
                <v:imagedata r:id="rId9" o:title=""/>
                <o:lock v:ext="edit" rotation="t"/>
              </v:shape>
            </w:pict>
          </mc:Fallback>
        </mc:AlternateContent>
      </w:r>
      <w:r>
        <w:rPr>
          <w:rFonts w:ascii="Calibri" w:eastAsia="Calibri" w:hAnsi="Calibri" w:cs="Calibri"/>
        </w:rPr>
        <w:t>1- Pour que la lecture du texte explicatif ne soit pas un frein pour les élèves souffrants de dyslexie, un QR code est proposé où ils auront l’audio du texte :</w:t>
      </w:r>
    </w:p>
    <w:p w14:paraId="560D8D51" w14:textId="77777777" w:rsidR="006C63A3" w:rsidRDefault="006C63A3">
      <w:pPr>
        <w:jc w:val="both"/>
        <w:rPr>
          <w:rFonts w:ascii="Calibri" w:hAnsi="Calibri" w:cs="Calibri"/>
        </w:rPr>
      </w:pPr>
    </w:p>
    <w:p w14:paraId="60F32DF2" w14:textId="77777777" w:rsidR="006C63A3" w:rsidRDefault="006C63A3">
      <w:pPr>
        <w:jc w:val="both"/>
        <w:rPr>
          <w:rFonts w:ascii="Calibri" w:hAnsi="Calibri" w:cs="Calibri"/>
        </w:rPr>
      </w:pPr>
    </w:p>
    <w:p w14:paraId="6C368EBA" w14:textId="77777777" w:rsidR="006C63A3" w:rsidRDefault="006C63A3">
      <w:pPr>
        <w:jc w:val="both"/>
        <w:rPr>
          <w:rFonts w:ascii="Calibri" w:hAnsi="Calibri" w:cs="Calibri"/>
        </w:rPr>
      </w:pPr>
    </w:p>
    <w:p w14:paraId="040E7268" w14:textId="77777777" w:rsidR="006C63A3" w:rsidRDefault="006C63A3">
      <w:pPr>
        <w:jc w:val="both"/>
        <w:rPr>
          <w:rFonts w:ascii="Calibri" w:hAnsi="Calibri" w:cs="Calibri"/>
        </w:rPr>
      </w:pPr>
    </w:p>
    <w:p w14:paraId="3947A492" w14:textId="77777777" w:rsidR="006C63A3" w:rsidRDefault="006C63A3">
      <w:pPr>
        <w:jc w:val="both"/>
        <w:rPr>
          <w:rFonts w:ascii="Calibri" w:hAnsi="Calibri" w:cs="Calibri"/>
        </w:rPr>
      </w:pPr>
    </w:p>
    <w:p w14:paraId="0C815600" w14:textId="77777777" w:rsidR="006C63A3" w:rsidRDefault="00000000">
      <w:pPr>
        <w:jc w:val="both"/>
        <w:rPr>
          <w:rFonts w:ascii="Calibri" w:hAnsi="Calibri" w:cs="Calibri"/>
        </w:rPr>
      </w:pPr>
      <w:r>
        <w:rPr>
          <w:rFonts w:ascii="Calibri" w:eastAsia="Calibri" w:hAnsi="Calibri" w:cs="Calibri"/>
        </w:rPr>
        <w:t>2- Proposition d’étayage pour les élèves en grande difficulté : simplification du texte +  cibler les éléments attendus</w:t>
      </w:r>
    </w:p>
    <w:p w14:paraId="58CCF31F" w14:textId="77777777" w:rsidR="006C63A3" w:rsidRDefault="00000000">
      <w:pPr>
        <w:spacing w:after="0"/>
        <w:jc w:val="both"/>
        <w:rPr>
          <w:rFonts w:ascii="Calibri" w:hAnsi="Calibri" w:cs="Calibri"/>
          <w:bCs/>
          <w:i/>
        </w:rPr>
      </w:pPr>
      <w:r>
        <w:rPr>
          <w:rFonts w:ascii="Calibri" w:eastAsia="Calibri" w:hAnsi="Calibri" w:cs="Calibri"/>
          <w:u w:val="single"/>
        </w:rPr>
        <w:t>Consigne </w:t>
      </w:r>
      <w:r>
        <w:rPr>
          <w:rFonts w:ascii="Calibri" w:eastAsia="Calibri" w:hAnsi="Calibri" w:cs="Calibri"/>
        </w:rPr>
        <w:t xml:space="preserve">: À partir de ce texte explicatif, réaliser un schéma fonctionnel du contrôle hormonal du cycle menstruel chez la femme.  </w:t>
      </w:r>
      <w:r>
        <w:rPr>
          <w:rFonts w:ascii="Calibri" w:eastAsia="Calibri" w:hAnsi="Calibri" w:cs="Calibri"/>
          <w:i/>
          <w:iCs/>
        </w:rPr>
        <w:t>Les mots en gras soulignés doivent apparaître.</w:t>
      </w:r>
    </w:p>
    <w:p w14:paraId="4997E426" w14:textId="77777777" w:rsidR="006C63A3" w:rsidRDefault="006C63A3">
      <w:pPr>
        <w:spacing w:after="0"/>
        <w:jc w:val="both"/>
        <w:rPr>
          <w:rFonts w:ascii="Calibri" w:hAnsi="Calibri" w:cs="Calibri"/>
        </w:rPr>
      </w:pPr>
    </w:p>
    <w:p w14:paraId="63185141" w14:textId="77777777" w:rsidR="006C63A3" w:rsidRDefault="00000000">
      <w:pPr>
        <w:spacing w:after="0"/>
        <w:rPr>
          <w:rFonts w:ascii="Calibri" w:hAnsi="Calibri" w:cs="Calibri"/>
        </w:rPr>
      </w:pPr>
      <w:r>
        <w:rPr>
          <w:rFonts w:ascii="Calibri" w:eastAsia="Calibri" w:hAnsi="Calibri" w:cs="Calibri"/>
          <w:u w:val="single"/>
        </w:rPr>
        <w:t>Document</w:t>
      </w:r>
      <w:r>
        <w:rPr>
          <w:rFonts w:ascii="Calibri" w:eastAsia="Calibri" w:hAnsi="Calibri" w:cs="Calibri"/>
        </w:rPr>
        <w:t> : Texte explicatif sur le contrôle hormonal du cycle menstruel</w:t>
      </w:r>
    </w:p>
    <w:p w14:paraId="36F22772" w14:textId="77777777" w:rsidR="006C63A3" w:rsidRDefault="006C63A3">
      <w:pPr>
        <w:spacing w:after="0"/>
        <w:rPr>
          <w:rFonts w:ascii="Calibri" w:hAnsi="Calibri" w:cs="Calibri"/>
        </w:rPr>
      </w:pPr>
    </w:p>
    <w:p w14:paraId="02E00B6C" w14:textId="77777777" w:rsidR="006C63A3" w:rsidRDefault="00000000">
      <w:pPr>
        <w:spacing w:after="0"/>
        <w:rPr>
          <w:rFonts w:ascii="Calibri" w:hAnsi="Calibri" w:cs="Calibri"/>
        </w:rPr>
      </w:pPr>
      <w:bookmarkStart w:id="0" w:name="_Hlk214955769"/>
      <w:r>
        <w:rPr>
          <w:rFonts w:ascii="Calibri" w:eastAsia="Calibri" w:hAnsi="Calibri" w:cs="Calibri"/>
        </w:rPr>
        <w:t xml:space="preserve">Dans le cerveau, </w:t>
      </w:r>
      <w:r>
        <w:rPr>
          <w:rFonts w:ascii="Calibri" w:eastAsia="Calibri" w:hAnsi="Calibri" w:cs="Calibri"/>
          <w:b/>
          <w:bCs/>
          <w:u w:val="single"/>
        </w:rPr>
        <w:t>l’hypothalamus</w:t>
      </w:r>
      <w:r>
        <w:rPr>
          <w:rFonts w:ascii="Calibri" w:eastAsia="Calibri" w:hAnsi="Calibri" w:cs="Calibri"/>
        </w:rPr>
        <w:t xml:space="preserve"> sécrète une hormone appelée </w:t>
      </w:r>
      <w:r>
        <w:rPr>
          <w:rFonts w:ascii="Calibri" w:eastAsia="Calibri" w:hAnsi="Calibri" w:cs="Calibri"/>
          <w:b/>
          <w:bCs/>
          <w:u w:val="single"/>
        </w:rPr>
        <w:t>GnRH</w:t>
      </w:r>
      <w:r>
        <w:rPr>
          <w:rFonts w:ascii="Calibri" w:eastAsia="Calibri" w:hAnsi="Calibri" w:cs="Calibri"/>
        </w:rPr>
        <w:t xml:space="preserve">. Cette hormone contrôle le fonctionnement de </w:t>
      </w:r>
      <w:r>
        <w:rPr>
          <w:rFonts w:ascii="Calibri" w:eastAsia="Calibri" w:hAnsi="Calibri" w:cs="Calibri"/>
          <w:b/>
          <w:bCs/>
          <w:u w:val="single"/>
        </w:rPr>
        <w:t>l’hypophyse</w:t>
      </w:r>
      <w:r>
        <w:rPr>
          <w:rFonts w:ascii="Calibri" w:eastAsia="Calibri" w:hAnsi="Calibri" w:cs="Calibri"/>
        </w:rPr>
        <w:t>.</w:t>
      </w:r>
    </w:p>
    <w:p w14:paraId="6822DAE4" w14:textId="77777777" w:rsidR="006C63A3" w:rsidRDefault="00000000">
      <w:pPr>
        <w:spacing w:after="0"/>
        <w:rPr>
          <w:rFonts w:ascii="Calibri" w:hAnsi="Calibri" w:cs="Calibri"/>
        </w:rPr>
      </w:pPr>
      <w:r>
        <w:rPr>
          <w:rFonts w:ascii="Calibri" w:eastAsia="Calibri" w:hAnsi="Calibri" w:cs="Calibri"/>
        </w:rPr>
        <w:t xml:space="preserve">L’hypophyse libère ensuite deux hormones, la </w:t>
      </w:r>
      <w:r>
        <w:rPr>
          <w:rFonts w:ascii="Calibri" w:eastAsia="Calibri" w:hAnsi="Calibri" w:cs="Calibri"/>
          <w:b/>
          <w:bCs/>
          <w:u w:val="single"/>
        </w:rPr>
        <w:t>FSH et la LH</w:t>
      </w:r>
      <w:r>
        <w:rPr>
          <w:rFonts w:ascii="Calibri" w:eastAsia="Calibri" w:hAnsi="Calibri" w:cs="Calibri"/>
        </w:rPr>
        <w:t xml:space="preserve">, qui vont jusqu’aux </w:t>
      </w:r>
      <w:r>
        <w:rPr>
          <w:rFonts w:ascii="Calibri" w:eastAsia="Calibri" w:hAnsi="Calibri" w:cs="Calibri"/>
          <w:b/>
          <w:bCs/>
          <w:u w:val="single"/>
        </w:rPr>
        <w:t>ovaires</w:t>
      </w:r>
      <w:r>
        <w:rPr>
          <w:rFonts w:ascii="Calibri" w:eastAsia="Calibri" w:hAnsi="Calibri" w:cs="Calibri"/>
        </w:rPr>
        <w:t xml:space="preserve"> pour les faire fonctionner.</w:t>
      </w:r>
    </w:p>
    <w:p w14:paraId="1C344090" w14:textId="77777777" w:rsidR="006C63A3" w:rsidRDefault="00000000">
      <w:pPr>
        <w:spacing w:after="0"/>
        <w:rPr>
          <w:rFonts w:ascii="Calibri" w:hAnsi="Calibri" w:cs="Calibri"/>
        </w:rPr>
      </w:pPr>
      <w:r>
        <w:rPr>
          <w:rFonts w:ascii="Calibri" w:eastAsia="Calibri" w:hAnsi="Calibri" w:cs="Calibri"/>
        </w:rPr>
        <w:t xml:space="preserve">Les ovaires sécrètent une hormone, </w:t>
      </w:r>
      <w:r>
        <w:rPr>
          <w:rFonts w:ascii="Calibri" w:eastAsia="Calibri" w:hAnsi="Calibri" w:cs="Calibri"/>
          <w:b/>
          <w:bCs/>
          <w:u w:val="single"/>
        </w:rPr>
        <w:t>l’œstrogène</w:t>
      </w:r>
      <w:r>
        <w:rPr>
          <w:rFonts w:ascii="Calibri" w:eastAsia="Calibri" w:hAnsi="Calibri" w:cs="Calibri"/>
        </w:rPr>
        <w:t xml:space="preserve">. Quand l’œstrogène augmente, la </w:t>
      </w:r>
      <w:r>
        <w:rPr>
          <w:rFonts w:ascii="Calibri" w:eastAsia="Calibri" w:hAnsi="Calibri" w:cs="Calibri"/>
          <w:b/>
          <w:bCs/>
          <w:u w:val="single"/>
        </w:rPr>
        <w:t>paroi de l’utérus devient plus épaisse</w:t>
      </w:r>
      <w:r>
        <w:rPr>
          <w:rFonts w:ascii="Calibri" w:eastAsia="Calibri" w:hAnsi="Calibri" w:cs="Calibri"/>
        </w:rPr>
        <w:t xml:space="preserve"> et </w:t>
      </w:r>
      <w:r>
        <w:rPr>
          <w:rFonts w:ascii="Calibri" w:eastAsia="Calibri" w:hAnsi="Calibri" w:cs="Calibri"/>
          <w:b/>
          <w:bCs/>
          <w:u w:val="single"/>
        </w:rPr>
        <w:t>l’ovulation</w:t>
      </w:r>
      <w:r>
        <w:rPr>
          <w:rFonts w:ascii="Calibri" w:eastAsia="Calibri" w:hAnsi="Calibri" w:cs="Calibri"/>
        </w:rPr>
        <w:t xml:space="preserve"> a lieu autour du 14ᵉ jour.</w:t>
      </w:r>
    </w:p>
    <w:p w14:paraId="1B9D95BA" w14:textId="77777777" w:rsidR="006C63A3" w:rsidRDefault="00000000">
      <w:pPr>
        <w:spacing w:after="0"/>
        <w:rPr>
          <w:rFonts w:ascii="Calibri" w:hAnsi="Calibri" w:cs="Calibri"/>
        </w:rPr>
      </w:pPr>
      <w:r>
        <w:rPr>
          <w:rFonts w:ascii="Calibri" w:eastAsia="Calibri" w:hAnsi="Calibri" w:cs="Calibri"/>
          <w:b/>
          <w:bCs/>
          <w:u w:val="single"/>
        </w:rPr>
        <w:t>Après l’ovulation</w:t>
      </w:r>
      <w:r>
        <w:rPr>
          <w:rFonts w:ascii="Calibri" w:eastAsia="Calibri" w:hAnsi="Calibri" w:cs="Calibri"/>
        </w:rPr>
        <w:t xml:space="preserve">, l’ovaire fabrique aussi de la </w:t>
      </w:r>
      <w:r>
        <w:rPr>
          <w:rFonts w:ascii="Calibri" w:eastAsia="Calibri" w:hAnsi="Calibri" w:cs="Calibri"/>
          <w:b/>
          <w:bCs/>
          <w:u w:val="single"/>
        </w:rPr>
        <w:t>progestérone</w:t>
      </w:r>
      <w:r>
        <w:rPr>
          <w:rFonts w:ascii="Calibri" w:eastAsia="Calibri" w:hAnsi="Calibri" w:cs="Calibri"/>
        </w:rPr>
        <w:t>. Cette hormone prépare encore plus la paroi de l’utérus.</w:t>
      </w:r>
    </w:p>
    <w:p w14:paraId="0785CA01" w14:textId="77777777" w:rsidR="006C63A3" w:rsidRDefault="00000000">
      <w:pPr>
        <w:spacing w:after="0"/>
        <w:rPr>
          <w:rFonts w:ascii="Calibri" w:hAnsi="Calibri" w:cs="Calibri"/>
        </w:rPr>
      </w:pPr>
      <w:r>
        <w:rPr>
          <w:rFonts w:ascii="Calibri" w:eastAsia="Calibri" w:hAnsi="Calibri" w:cs="Calibri"/>
          <w:b/>
          <w:bCs/>
          <w:u w:val="single"/>
        </w:rPr>
        <w:t>S’il n’y a pas eu de fécondation</w:t>
      </w:r>
      <w:r>
        <w:rPr>
          <w:rFonts w:ascii="Calibri" w:eastAsia="Calibri" w:hAnsi="Calibri" w:cs="Calibri"/>
        </w:rPr>
        <w:t xml:space="preserve">, les </w:t>
      </w:r>
      <w:r>
        <w:rPr>
          <w:rFonts w:ascii="Calibri" w:eastAsia="Calibri" w:hAnsi="Calibri" w:cs="Calibri"/>
          <w:b/>
          <w:bCs/>
          <w:u w:val="single"/>
        </w:rPr>
        <w:t>hormones baissent à partir du 23ᵉ jour</w:t>
      </w:r>
      <w:r>
        <w:rPr>
          <w:rFonts w:ascii="Calibri" w:eastAsia="Calibri" w:hAnsi="Calibri" w:cs="Calibri"/>
        </w:rPr>
        <w:t xml:space="preserve">. La paroi de l’utérus épaissie commence à se détacher et est éliminée par le corps : ce sont </w:t>
      </w:r>
      <w:r>
        <w:rPr>
          <w:rFonts w:ascii="Calibri" w:eastAsia="Calibri" w:hAnsi="Calibri" w:cs="Calibri"/>
          <w:b/>
          <w:bCs/>
          <w:u w:val="single"/>
        </w:rPr>
        <w:t>les règles</w:t>
      </w:r>
      <w:r>
        <w:rPr>
          <w:rFonts w:ascii="Calibri" w:eastAsia="Calibri" w:hAnsi="Calibri" w:cs="Calibri"/>
        </w:rPr>
        <w:t xml:space="preserve"> et un nouveau cycle commence.</w:t>
      </w:r>
      <w:bookmarkEnd w:id="0"/>
    </w:p>
    <w:p w14:paraId="32A33C24" w14:textId="77777777" w:rsidR="006C63A3" w:rsidRDefault="006C63A3">
      <w:pPr>
        <w:rPr>
          <w:rFonts w:ascii="Calibri" w:hAnsi="Calibri" w:cs="Calibri"/>
        </w:rPr>
      </w:pPr>
    </w:p>
    <w:p w14:paraId="3B46F843" w14:textId="77777777" w:rsidR="006C63A3" w:rsidRDefault="00000000">
      <w:pPr>
        <w:jc w:val="both"/>
        <w:rPr>
          <w:rFonts w:ascii="Calibri" w:hAnsi="Calibri" w:cs="Calibri"/>
        </w:rPr>
      </w:pPr>
      <w:r>
        <w:rPr>
          <w:rFonts w:ascii="Calibri" w:eastAsia="Calibri" w:hAnsi="Calibri" w:cs="Calibri"/>
        </w:rPr>
        <w:t>3- Proposition d’étayage pour les élèves en grande difficulté, qui peuvent compléter la proposition d’étayage n°1 : une aide pour visualiser les relations de causes à effets</w:t>
      </w:r>
    </w:p>
    <w:p w14:paraId="2CAEEB3F" w14:textId="77777777" w:rsidR="006C63A3" w:rsidRDefault="00000000">
      <w:pPr>
        <w:rPr>
          <w:rFonts w:ascii="Calibri" w:hAnsi="Calibri" w:cs="Calibri"/>
          <w:b/>
          <w:bCs/>
          <w:i/>
          <w:iCs/>
          <w:u w:val="single"/>
        </w:rPr>
      </w:pPr>
      <w:r>
        <w:rPr>
          <w:rFonts w:ascii="Calibri" w:eastAsia="Calibri" w:hAnsi="Calibri" w:cs="Calibri"/>
          <w:b/>
          <w:bCs/>
          <w:i/>
          <w:iCs/>
          <w:u w:val="single"/>
        </w:rPr>
        <w:t>Aide à la réalisation du schéma fonctionnel</w:t>
      </w:r>
    </w:p>
    <w:p w14:paraId="4D839F9C" w14:textId="77777777" w:rsidR="006C63A3" w:rsidRDefault="00000000">
      <w:pPr>
        <w:spacing w:after="0"/>
        <w:rPr>
          <w:rFonts w:ascii="Calibri" w:hAnsi="Calibri" w:cs="Calibri"/>
          <w:i/>
          <w:iCs/>
        </w:rPr>
      </w:pPr>
      <w:r>
        <w:rPr>
          <w:rFonts w:ascii="Calibri" w:eastAsia="Calibri" w:hAnsi="Calibri" w:cs="Calibri"/>
          <w:i/>
          <w:iCs/>
        </w:rPr>
        <w:t>Hypothalamus → envoie GnRH : effet sur l’hypophyse</w:t>
      </w:r>
    </w:p>
    <w:p w14:paraId="4D8F07B3" w14:textId="77777777" w:rsidR="006C63A3" w:rsidRDefault="00000000">
      <w:pPr>
        <w:spacing w:after="0"/>
        <w:rPr>
          <w:rFonts w:ascii="Calibri" w:hAnsi="Calibri" w:cs="Calibri"/>
          <w:i/>
          <w:iCs/>
        </w:rPr>
      </w:pPr>
      <w:r>
        <w:rPr>
          <w:rFonts w:ascii="Calibri" w:eastAsia="Calibri" w:hAnsi="Calibri" w:cs="Calibri"/>
          <w:i/>
          <w:iCs/>
        </w:rPr>
        <w:t>Hypophyse → envoie FSH et LH : effet sur les ovaires</w:t>
      </w:r>
    </w:p>
    <w:p w14:paraId="03274AAD" w14:textId="77777777" w:rsidR="006C63A3" w:rsidRDefault="00000000">
      <w:pPr>
        <w:spacing w:after="0"/>
        <w:rPr>
          <w:rFonts w:ascii="Calibri" w:hAnsi="Calibri" w:cs="Calibri"/>
          <w:i/>
          <w:iCs/>
        </w:rPr>
      </w:pPr>
      <w:r>
        <w:rPr>
          <w:rFonts w:ascii="Calibri" w:eastAsia="Calibri" w:hAnsi="Calibri" w:cs="Calibri"/>
          <w:i/>
          <w:iCs/>
        </w:rPr>
        <w:t>Ovaires → envoient œstrogène : effet sur la paroi de l’utérus et déclenche l’ovulation</w:t>
      </w:r>
    </w:p>
    <w:p w14:paraId="156890DD" w14:textId="77777777" w:rsidR="006C63A3" w:rsidRDefault="00000000">
      <w:pPr>
        <w:spacing w:after="0"/>
        <w:rPr>
          <w:rFonts w:ascii="Calibri" w:hAnsi="Calibri" w:cs="Calibri"/>
          <w:i/>
          <w:iCs/>
        </w:rPr>
      </w:pPr>
      <w:r>
        <w:rPr>
          <w:rFonts w:ascii="Calibri" w:eastAsia="Calibri" w:hAnsi="Calibri" w:cs="Calibri"/>
          <w:i/>
          <w:iCs/>
        </w:rPr>
        <w:t>Après l’ovulation : ovaires → envoient progestérone : effet sur la paroi de l’utérus</w:t>
      </w:r>
    </w:p>
    <w:p w14:paraId="678A22BC" w14:textId="77777777" w:rsidR="006C63A3" w:rsidRDefault="00000000">
      <w:pPr>
        <w:spacing w:after="0"/>
        <w:rPr>
          <w:rFonts w:ascii="Calibri" w:hAnsi="Calibri" w:cs="Calibri"/>
          <w:i/>
          <w:iCs/>
        </w:rPr>
      </w:pPr>
      <w:r>
        <w:rPr>
          <w:rFonts w:ascii="Calibri" w:eastAsia="Calibri" w:hAnsi="Calibri" w:cs="Calibri"/>
          <w:i/>
          <w:iCs/>
        </w:rPr>
        <w:t>Si pas de fécondation : baisse des hormones et apparition des règles</w:t>
      </w:r>
    </w:p>
    <w:p w14:paraId="39637CD6" w14:textId="77777777" w:rsidR="006C63A3" w:rsidRDefault="00000000">
      <w:pPr>
        <w:rPr>
          <w:rFonts w:ascii="Calibri" w:hAnsi="Calibri" w:cs="Calibri"/>
          <w:bCs/>
          <w:i/>
        </w:rPr>
      </w:pPr>
      <w:r>
        <w:rPr>
          <w:rFonts w:ascii="Calibri" w:hAnsi="Calibri" w:cs="Calibri"/>
          <w:bCs/>
          <w:i/>
        </w:rPr>
        <w:br w:type="page" w:clear="all"/>
      </w:r>
    </w:p>
    <w:p w14:paraId="38B8DEDB" w14:textId="77777777" w:rsidR="006C63A3" w:rsidRDefault="00000000">
      <w:pPr>
        <w:rPr>
          <w:rFonts w:ascii="Calibri" w:hAnsi="Calibri" w:cs="Calibri"/>
        </w:rPr>
      </w:pPr>
      <w:r>
        <w:rPr>
          <w:rFonts w:ascii="Calibri" w:eastAsia="Calibri" w:hAnsi="Calibri" w:cs="Calibri"/>
        </w:rPr>
        <w:lastRenderedPageBreak/>
        <w:t>Annexe 1 : Document 1. Texte permettant d’enrichir un échange dialogué avec les élèves pour faire émerger les notions préalables nécessaires aux élèves.</w:t>
      </w:r>
    </w:p>
    <w:p w14:paraId="274A4B7B" w14:textId="77777777" w:rsidR="006C63A3" w:rsidRDefault="00000000">
      <w:pPr>
        <w:pBdr>
          <w:top w:val="single" w:sz="4" w:space="0" w:color="000000"/>
          <w:left w:val="single" w:sz="4" w:space="3" w:color="000000"/>
          <w:bottom w:val="single" w:sz="4" w:space="0" w:color="000000"/>
          <w:right w:val="single" w:sz="4" w:space="3" w:color="000000"/>
        </w:pBdr>
        <w:jc w:val="both"/>
        <w:rPr>
          <w:rFonts w:ascii="Calibri" w:hAnsi="Calibri" w:cs="Calibri"/>
          <w14:ligatures w14:val="standardContextual"/>
        </w:rPr>
      </w:pPr>
      <w:r>
        <w:rPr>
          <w:rFonts w:ascii="Calibri" w:eastAsia="Calibri" w:hAnsi="Calibri" w:cs="Calibri"/>
          <w14:ligatures w14:val="standardContextual"/>
        </w:rPr>
        <w:t xml:space="preserve">Chez les femmes, le fonctionnement des organes reproducteurs suit un cycle régulier appelé </w:t>
      </w:r>
      <w:r>
        <w:rPr>
          <w:rFonts w:ascii="Calibri" w:eastAsia="Calibri" w:hAnsi="Calibri" w:cs="Calibri"/>
          <w:b/>
          <w:bCs/>
          <w14:ligatures w14:val="standardContextual"/>
        </w:rPr>
        <w:t>cycle menstruel</w:t>
      </w:r>
      <w:r>
        <w:rPr>
          <w:rFonts w:ascii="Calibri" w:eastAsia="Calibri" w:hAnsi="Calibri" w:cs="Calibri"/>
          <w14:ligatures w14:val="standardContextual"/>
        </w:rPr>
        <w:t>, qui dure environ 28 jours. Pendant ce cycle, les ovaires libèrent un ovule, et l’utérus se prépare à une éventuelle grossesse. Si l’ovule n’est pas fécondé, il est éliminé avec la muqueuse de l’utérus pendant les règles. Chez les femmes, tout fonctionne en suivant un rythme cyclique.</w:t>
      </w:r>
    </w:p>
    <w:p w14:paraId="683E71F1" w14:textId="77777777" w:rsidR="006C63A3" w:rsidRDefault="00000000">
      <w:pPr>
        <w:rPr>
          <w:rFonts w:ascii="Calibri" w:hAnsi="Calibri" w:cs="Calibri"/>
        </w:rPr>
      </w:pPr>
      <w:r>
        <w:rPr>
          <w:rFonts w:ascii="Calibri" w:eastAsia="Calibri" w:hAnsi="Calibri" w:cs="Calibri"/>
        </w:rPr>
        <w:t>Annexe 2 : Exemple de production attendue</w:t>
      </w:r>
      <w:r>
        <w:rPr>
          <w:rFonts w:ascii="Calibri" w:eastAsia="Calibri" w:hAnsi="Calibri" w:cs="Calibri"/>
          <w:noProof/>
        </w:rPr>
        <mc:AlternateContent>
          <mc:Choice Requires="wpg">
            <w:drawing>
              <wp:anchor distT="0" distB="0" distL="114300" distR="114300" simplePos="0" relativeHeight="251664384" behindDoc="0" locked="0" layoutInCell="1" allowOverlap="1" wp14:anchorId="32B592D4" wp14:editId="7ACE8F13">
                <wp:simplePos x="0" y="0"/>
                <wp:positionH relativeFrom="margin">
                  <wp:align>center</wp:align>
                </wp:positionH>
                <wp:positionV relativeFrom="paragraph">
                  <wp:posOffset>353695</wp:posOffset>
                </wp:positionV>
                <wp:extent cx="7298543" cy="4571805"/>
                <wp:effectExtent l="0" t="0" r="0" b="0"/>
                <wp:wrapSquare wrapText="bothSides"/>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451319" name=""/>
                        <pic:cNvPicPr>
                          <a:picLocks noChangeAspect="1"/>
                        </pic:cNvPicPr>
                      </pic:nvPicPr>
                      <pic:blipFill rotWithShape="1">
                        <a:blip r:embed="rId10"/>
                        <a:stretch/>
                      </pic:blipFill>
                      <pic:spPr bwMode="auto">
                        <a:xfrm>
                          <a:off x="0" y="0"/>
                          <a:ext cx="7298542" cy="4571804"/>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4384;o:allowoverlap:true;o:allowincell:true;mso-position-horizontal-relative:margin;mso-position-horizontal:center;mso-position-vertical-relative:text;margin-top:27.85pt;mso-position-vertical:absolute;width:574.69pt;height:359.98pt;mso-wrap-distance-left:9.00pt;mso-wrap-distance-top:0.00pt;mso-wrap-distance-right:9.00pt;mso-wrap-distance-bottom:0.00pt;rotation:0;z-index:1;" stroked="false">
                <w10:wrap type="square"/>
                <v:imagedata r:id="rId11" o:title=""/>
                <o:lock v:ext="edit" rotation="t"/>
              </v:shape>
            </w:pict>
          </mc:Fallback>
        </mc:AlternateContent>
      </w:r>
    </w:p>
    <w:p w14:paraId="3EA61699" w14:textId="77777777" w:rsidR="006C63A3" w:rsidRDefault="006C63A3">
      <w:pPr>
        <w:rPr>
          <w:rFonts w:ascii="Calibri" w:hAnsi="Calibri" w:cs="Calibri"/>
          <w:color w:val="FF0000"/>
        </w:rPr>
      </w:pPr>
    </w:p>
    <w:sectPr w:rsidR="006C63A3">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8C28F" w14:textId="77777777" w:rsidR="00FB7A4C" w:rsidRDefault="00FB7A4C">
      <w:pPr>
        <w:spacing w:after="0" w:line="240" w:lineRule="auto"/>
      </w:pPr>
      <w:r>
        <w:separator/>
      </w:r>
    </w:p>
  </w:endnote>
  <w:endnote w:type="continuationSeparator" w:id="0">
    <w:p w14:paraId="224FC12D" w14:textId="77777777" w:rsidR="00FB7A4C" w:rsidRDefault="00FB7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C096D" w14:textId="77777777" w:rsidR="00FB7A4C" w:rsidRDefault="00FB7A4C">
      <w:pPr>
        <w:spacing w:after="0" w:line="240" w:lineRule="auto"/>
      </w:pPr>
      <w:r>
        <w:separator/>
      </w:r>
    </w:p>
  </w:footnote>
  <w:footnote w:type="continuationSeparator" w:id="0">
    <w:p w14:paraId="310F1247" w14:textId="77777777" w:rsidR="00FB7A4C" w:rsidRDefault="00FB7A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7047"/>
    <w:multiLevelType w:val="multilevel"/>
    <w:tmpl w:val="3544D5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6BD4F07"/>
    <w:multiLevelType w:val="multilevel"/>
    <w:tmpl w:val="EF96ED3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0BD0166"/>
    <w:multiLevelType w:val="multilevel"/>
    <w:tmpl w:val="8230F4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E753F11"/>
    <w:multiLevelType w:val="multilevel"/>
    <w:tmpl w:val="265A98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861B73"/>
    <w:multiLevelType w:val="multilevel"/>
    <w:tmpl w:val="982423A2"/>
    <w:lvl w:ilvl="0">
      <w:start w:val="1"/>
      <w:numFmt w:val="bullet"/>
      <w:lvlText w:val=""/>
      <w:lvlJc w:val="left"/>
      <w:pPr>
        <w:ind w:left="720" w:hanging="360"/>
      </w:pPr>
      <w:rPr>
        <w:rFonts w:ascii="Wingdings" w:eastAsiaTheme="minorHAnsi" w:hAnsi="Wingdings" w:cstheme="maj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28E39D9"/>
    <w:multiLevelType w:val="multilevel"/>
    <w:tmpl w:val="E8AEE4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448347E"/>
    <w:multiLevelType w:val="multilevel"/>
    <w:tmpl w:val="F25437F4"/>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abstractNum w:abstractNumId="7" w15:restartNumberingAfterBreak="0">
    <w:nsid w:val="7F8E339D"/>
    <w:multiLevelType w:val="multilevel"/>
    <w:tmpl w:val="AA8652A6"/>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364555583">
    <w:abstractNumId w:val="3"/>
  </w:num>
  <w:num w:numId="2" w16cid:durableId="1495217333">
    <w:abstractNumId w:val="2"/>
  </w:num>
  <w:num w:numId="3" w16cid:durableId="243299375">
    <w:abstractNumId w:val="5"/>
  </w:num>
  <w:num w:numId="4" w16cid:durableId="1144003144">
    <w:abstractNumId w:val="6"/>
  </w:num>
  <w:num w:numId="5" w16cid:durableId="1967420575">
    <w:abstractNumId w:val="4"/>
  </w:num>
  <w:num w:numId="6" w16cid:durableId="2117172934">
    <w:abstractNumId w:val="0"/>
  </w:num>
  <w:num w:numId="7" w16cid:durableId="534275911">
    <w:abstractNumId w:val="1"/>
  </w:num>
  <w:num w:numId="8" w16cid:durableId="102847298">
    <w:abstractNumId w:val="7"/>
  </w:num>
  <w:num w:numId="9" w16cid:durableId="2064593364">
    <w:abstractNumId w:val="4"/>
  </w:num>
  <w:num w:numId="10" w16cid:durableId="1568759941">
    <w:abstractNumId w:val="4"/>
  </w:num>
  <w:num w:numId="11" w16cid:durableId="18559159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3A3"/>
    <w:rsid w:val="002D7B1E"/>
    <w:rsid w:val="006C63A3"/>
    <w:rsid w:val="00FA3B66"/>
    <w:rsid w:val="00FB7A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3407F"/>
  <w15:docId w15:val="{4A0BDAB9-A2CA-4A73-963A-CAD532EF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 w:type="paragraph" w:styleId="Sansinterligne">
    <w:name w:val="No Spacing"/>
    <w:uiPriority w:val="1"/>
    <w:qFormat/>
    <w:pPr>
      <w:spacing w:after="0" w:line="240" w:lineRule="auto"/>
    </w:p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917</Words>
  <Characters>5044</Characters>
  <Application>Microsoft Office Word</Application>
  <DocSecurity>0</DocSecurity>
  <Lines>42</Lines>
  <Paragraphs>11</Paragraphs>
  <ScaleCrop>false</ScaleCrop>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Manuella Van-Praet</cp:lastModifiedBy>
  <cp:revision>8</cp:revision>
  <cp:lastPrinted>2026-07-10T15:25:00Z</cp:lastPrinted>
  <dcterms:created xsi:type="dcterms:W3CDTF">2026-04-02T10:53:00Z</dcterms:created>
  <dcterms:modified xsi:type="dcterms:W3CDTF">2026-07-10T15:26:00Z</dcterms:modified>
</cp:coreProperties>
</file>