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3918B" w14:textId="77777777" w:rsidR="002B588E" w:rsidRDefault="00000000">
      <w:pPr>
        <w:jc w:val="center"/>
        <w:rPr>
          <w:rFonts w:eastAsiaTheme="minorEastAsia"/>
          <w:b/>
          <w:bCs/>
          <w:sz w:val="32"/>
          <w:szCs w:val="32"/>
        </w:rPr>
      </w:pPr>
      <w:r>
        <w:rPr>
          <w:rFonts w:eastAsiaTheme="minorEastAsia"/>
          <w:b/>
          <w:bCs/>
          <w:sz w:val="32"/>
          <w:szCs w:val="32"/>
        </w:rPr>
        <w:t>Fonctionnement des appareils reproducteurs et moyens de contraception</w:t>
      </w:r>
    </w:p>
    <w:p w14:paraId="59538119" w14:textId="77777777" w:rsidR="002B588E" w:rsidRDefault="00000000">
      <w:pPr>
        <w:jc w:val="both"/>
        <w:rPr>
          <w:rFonts w:eastAsiaTheme="minorEastAsia"/>
        </w:rPr>
      </w:pPr>
      <w:r>
        <w:rPr>
          <w:rFonts w:eastAsiaTheme="minorEastAsia"/>
          <w:b/>
          <w:bCs/>
          <w:color w:val="00B0F0"/>
        </w:rPr>
        <w:t xml:space="preserve">Niveau de classe </w:t>
      </w:r>
      <w:r>
        <w:rPr>
          <w:rFonts w:eastAsiaTheme="minorEastAsia"/>
        </w:rPr>
        <w:t>: Cycle 4</w:t>
      </w:r>
    </w:p>
    <w:p w14:paraId="738C82CE" w14:textId="77777777" w:rsidR="002B588E" w:rsidRDefault="00000000">
      <w:pPr>
        <w:jc w:val="both"/>
        <w:rPr>
          <w:rFonts w:eastAsiaTheme="minorEastAsia"/>
        </w:rPr>
      </w:pPr>
      <w:r>
        <w:rPr>
          <w:rFonts w:eastAsiaTheme="minorEastAsia"/>
          <w:b/>
          <w:bCs/>
          <w:color w:val="00B0F0"/>
        </w:rPr>
        <w:t>Notion du BO travaillée</w:t>
      </w:r>
      <w:r>
        <w:rPr>
          <w:rFonts w:eastAsiaTheme="minorEastAsia"/>
          <w:color w:val="00B0F0"/>
        </w:rPr>
        <w:t> </w:t>
      </w:r>
      <w:r>
        <w:rPr>
          <w:rFonts w:eastAsiaTheme="minorEastAsia"/>
        </w:rPr>
        <w:t>qui s’inscrit dans « Corps</w:t>
      </w:r>
      <w:r>
        <w:rPr>
          <w:rFonts w:eastAsiaTheme="minorEastAsia"/>
          <w:color w:val="000000" w:themeColor="text1"/>
        </w:rPr>
        <w:t xml:space="preserve"> humain et santé »</w:t>
      </w:r>
      <w:r>
        <w:rPr>
          <w:rFonts w:eastAsiaTheme="minorEastAsia"/>
        </w:rPr>
        <w:t xml:space="preserve"> &gt;&gt; « reproduction humaine » :</w:t>
      </w:r>
    </w:p>
    <w:p w14:paraId="70831A29" w14:textId="77777777" w:rsidR="002B588E" w:rsidRDefault="000000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Relier le fonctionnement des appareils reproducteurs à </w:t>
      </w:r>
      <w:r>
        <w:rPr>
          <w:rFonts w:eastAsiaTheme="minorEastAsia"/>
          <w:color w:val="000000" w:themeColor="text1"/>
          <w:lang w:val="es-ES"/>
        </w:rPr>
        <w:t xml:space="preserve">partir de la </w:t>
      </w:r>
      <w:proofErr w:type="spellStart"/>
      <w:r>
        <w:rPr>
          <w:rFonts w:eastAsiaTheme="minorEastAsia"/>
          <w:color w:val="000000" w:themeColor="text1"/>
          <w:lang w:val="es-ES"/>
        </w:rPr>
        <w:t>pubert</w:t>
      </w:r>
      <w:proofErr w:type="spellEnd"/>
      <w:r>
        <w:rPr>
          <w:rFonts w:eastAsiaTheme="minorEastAsia"/>
          <w:color w:val="000000" w:themeColor="text1"/>
        </w:rPr>
        <w:t>é aux principes de la maîtrise de la reproduction</w:t>
      </w:r>
    </w:p>
    <w:p w14:paraId="708F8483" w14:textId="77777777" w:rsidR="002B588E" w:rsidRDefault="00000000">
      <w:pPr>
        <w:spacing w:after="0" w:line="240" w:lineRule="auto"/>
        <w:jc w:val="both"/>
        <w:rPr>
          <w:rFonts w:eastAsiaTheme="minorEastAsia"/>
        </w:rPr>
      </w:pPr>
      <w:r>
        <w:rPr>
          <w:rFonts w:eastAsiaTheme="minorEastAsia"/>
          <w:b/>
          <w:bCs/>
          <w:i/>
          <w:iCs/>
        </w:rPr>
        <w:t xml:space="preserve">Notions fondamentales : </w:t>
      </w:r>
    </w:p>
    <w:p w14:paraId="4CDB8BE7" w14:textId="77777777" w:rsidR="002B588E" w:rsidRDefault="002B588E">
      <w:pPr>
        <w:spacing w:after="0" w:line="240" w:lineRule="auto"/>
        <w:jc w:val="both"/>
        <w:rPr>
          <w:rFonts w:eastAsiaTheme="minorEastAsia"/>
        </w:rPr>
      </w:pPr>
    </w:p>
    <w:p w14:paraId="1D92EF91" w14:textId="77777777" w:rsidR="002B588E" w:rsidRDefault="00000000">
      <w:pPr>
        <w:pStyle w:val="Paragraphedeliste"/>
        <w:numPr>
          <w:ilvl w:val="0"/>
          <w:numId w:val="2"/>
        </w:numPr>
        <w:spacing w:after="0" w:line="240" w:lineRule="auto"/>
        <w:jc w:val="both"/>
        <w:rPr>
          <w:rFonts w:eastAsiaTheme="minorEastAsia"/>
          <w:b/>
          <w:bCs/>
        </w:rPr>
      </w:pPr>
      <w:r>
        <w:rPr>
          <w:rFonts w:eastAsiaTheme="minorEastAsia"/>
          <w:b/>
          <w:bCs/>
        </w:rPr>
        <w:t>L’activité vise l’étude des différents moyens de contraception.</w:t>
      </w:r>
    </w:p>
    <w:p w14:paraId="28FD4E91" w14:textId="77777777" w:rsidR="002B588E" w:rsidRDefault="002B588E">
      <w:pPr>
        <w:pStyle w:val="Paragraphedeliste"/>
        <w:spacing w:after="0" w:line="240" w:lineRule="auto"/>
        <w:jc w:val="both"/>
        <w:rPr>
          <w:rFonts w:eastAsiaTheme="minorEastAsia"/>
        </w:rPr>
      </w:pPr>
    </w:p>
    <w:p w14:paraId="18BBCFB1" w14:textId="77777777" w:rsidR="002B588E" w:rsidRDefault="00000000">
      <w:pPr>
        <w:jc w:val="both"/>
        <w:rPr>
          <w:rFonts w:eastAsiaTheme="minorEastAsia"/>
        </w:rPr>
      </w:pPr>
      <w:r>
        <w:rPr>
          <w:rFonts w:eastAsiaTheme="minorEastAsia"/>
          <w:b/>
          <w:bCs/>
          <w:color w:val="00B0F0"/>
        </w:rPr>
        <w:t>Compétence travaillée dans l’activité</w:t>
      </w:r>
      <w:r>
        <w:rPr>
          <w:rFonts w:eastAsiaTheme="minorEastAsia"/>
          <w:color w:val="00B0F0"/>
        </w:rPr>
        <w:t> </w:t>
      </w:r>
      <w:r>
        <w:rPr>
          <w:rFonts w:eastAsiaTheme="minorEastAsia"/>
        </w:rPr>
        <w:t>: Rédiger un texte argumentatif.</w:t>
      </w:r>
    </w:p>
    <w:p w14:paraId="781B89EC" w14:textId="77777777" w:rsidR="002B588E" w:rsidRDefault="00000000">
      <w:pPr>
        <w:jc w:val="both"/>
        <w:rPr>
          <w:rFonts w:eastAsiaTheme="minorEastAsia"/>
        </w:rPr>
      </w:pPr>
      <w:r>
        <w:rPr>
          <w:rFonts w:eastAsiaTheme="minorEastAsia"/>
          <w:b/>
          <w:bCs/>
          <w:color w:val="00B0F0"/>
        </w:rPr>
        <w:t>Contexte de l’activité</w:t>
      </w:r>
      <w:r>
        <w:rPr>
          <w:rFonts w:eastAsiaTheme="minorEastAsia"/>
          <w:color w:val="00B0F0"/>
        </w:rPr>
        <w:t> </w:t>
      </w:r>
      <w:r>
        <w:rPr>
          <w:rFonts w:eastAsiaTheme="minorEastAsia"/>
        </w:rPr>
        <w:t xml:space="preserve">: Cette activité peut s’intégrer à une séquence pour </w:t>
      </w:r>
      <w:proofErr w:type="spellStart"/>
      <w:r>
        <w:rPr>
          <w:rFonts w:eastAsiaTheme="minorEastAsia"/>
        </w:rPr>
        <w:t>co-construire</w:t>
      </w:r>
      <w:proofErr w:type="spellEnd"/>
      <w:r>
        <w:rPr>
          <w:rFonts w:eastAsiaTheme="minorEastAsia"/>
        </w:rPr>
        <w:t xml:space="preserve"> les notions visées. Elle peut faire suite à l’étude du fonctionnement des appareils reproducteurs et de la notion de fécondation.</w:t>
      </w:r>
    </w:p>
    <w:p w14:paraId="53870DA8" w14:textId="77777777" w:rsidR="002B588E" w:rsidRDefault="00000000">
      <w:pPr>
        <w:jc w:val="both"/>
        <w:rPr>
          <w:rFonts w:eastAsiaTheme="minorEastAsia"/>
        </w:rPr>
      </w:pPr>
      <w:r>
        <w:rPr>
          <w:rFonts w:eastAsiaTheme="minorEastAsia"/>
          <w:color w:val="000000" w:themeColor="text1"/>
        </w:rPr>
        <w:t xml:space="preserve">OU </w:t>
      </w:r>
      <w:r>
        <w:rPr>
          <w:rFonts w:eastAsiaTheme="minorEastAsia"/>
        </w:rPr>
        <w:t>Cette activité constitue une activité de remédiation fournie à la classe ou certains élèves en fonction de leur besoin.</w:t>
      </w:r>
    </w:p>
    <w:p w14:paraId="7F23C7A9" w14:textId="77777777" w:rsidR="002B588E" w:rsidRDefault="00000000">
      <w:pPr>
        <w:jc w:val="both"/>
        <w:rPr>
          <w:rFonts w:eastAsiaTheme="minorEastAsia"/>
        </w:rPr>
      </w:pPr>
      <w:r>
        <w:rPr>
          <w:rFonts w:eastAsiaTheme="minorEastAsia"/>
          <w:b/>
          <w:bCs/>
          <w:color w:val="00B0F0"/>
        </w:rPr>
        <w:t xml:space="preserve">Contenu de l’activité </w:t>
      </w:r>
      <w:r>
        <w:rPr>
          <w:rFonts w:eastAsiaTheme="minorEastAsia"/>
        </w:rPr>
        <w:t>:</w:t>
      </w:r>
    </w:p>
    <w:p w14:paraId="1AAF923C" w14:textId="77777777" w:rsidR="002B588E" w:rsidRDefault="00000000">
      <w:pPr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u w:val="single"/>
        </w:rPr>
        <w:t>Consigne </w:t>
      </w:r>
      <w:r>
        <w:rPr>
          <w:rFonts w:eastAsiaTheme="minorEastAsia"/>
        </w:rPr>
        <w:t xml:space="preserve">: </w:t>
      </w:r>
      <w:r>
        <w:rPr>
          <w:rFonts w:eastAsiaTheme="minorEastAsia"/>
          <w:color w:val="000000" w:themeColor="text1"/>
        </w:rPr>
        <w:t>À l’aide de l’ensemble des documents,</w:t>
      </w:r>
      <w:r>
        <w:rPr>
          <w:rFonts w:eastAsiaTheme="minorEastAsia"/>
          <w:b/>
          <w:bCs/>
          <w:color w:val="000000" w:themeColor="text1"/>
        </w:rPr>
        <w:t xml:space="preserve"> rédiger un texte argumenté </w:t>
      </w:r>
      <w:r>
        <w:rPr>
          <w:rFonts w:eastAsiaTheme="minorEastAsia"/>
          <w:color w:val="000000" w:themeColor="text1"/>
        </w:rPr>
        <w:t xml:space="preserve">montrant que la connaissance du fonctionnement des appareils reproducteurs a permis de développer différents moyens de contraception. </w:t>
      </w:r>
    </w:p>
    <w:p w14:paraId="5C89DABE" w14:textId="77777777" w:rsidR="002B588E" w:rsidRDefault="002B588E">
      <w:pPr>
        <w:jc w:val="both"/>
        <w:rPr>
          <w:rFonts w:eastAsiaTheme="minorEastAsia"/>
        </w:rPr>
      </w:pPr>
    </w:p>
    <w:p w14:paraId="2F9987C9" w14:textId="77777777" w:rsidR="002B588E" w:rsidRDefault="00000000">
      <w:pPr>
        <w:contextualSpacing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  <w:u w:val="single"/>
        </w:rPr>
        <w:t>Document 1</w:t>
      </w:r>
      <w:r>
        <w:rPr>
          <w:rFonts w:eastAsiaTheme="minorEastAsia"/>
          <w:color w:val="000000" w:themeColor="text1"/>
        </w:rPr>
        <w:t> : Comment débute une grossesse ?</w:t>
      </w:r>
    </w:p>
    <w:p w14:paraId="2FFAFEEA" w14:textId="77777777" w:rsidR="002B588E" w:rsidRDefault="002B588E">
      <w:pPr>
        <w:contextualSpacing/>
        <w:jc w:val="both"/>
        <w:rPr>
          <w:rFonts w:eastAsiaTheme="minorEastAsia"/>
          <w:color w:val="000000" w:themeColor="text1"/>
        </w:rPr>
      </w:pPr>
    </w:p>
    <w:p w14:paraId="4B122921" w14:textId="77777777" w:rsidR="002B588E" w:rsidRDefault="00000000">
      <w:pPr>
        <w:contextualSpacing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Le schéma ci-dessous rappelle les étapes conduisant à une grossesse.</w:t>
      </w:r>
    </w:p>
    <w:p w14:paraId="12C0B3D4" w14:textId="77777777" w:rsidR="002B588E" w:rsidRDefault="002B588E">
      <w:pPr>
        <w:contextualSpacing/>
        <w:jc w:val="both"/>
        <w:rPr>
          <w:rFonts w:eastAsiaTheme="minorEastAsia"/>
          <w:color w:val="000000" w:themeColor="text1"/>
        </w:rPr>
      </w:pPr>
    </w:p>
    <w:p w14:paraId="05BF8185" w14:textId="77777777" w:rsidR="002B588E" w:rsidRDefault="00000000">
      <w:pPr>
        <w:contextualSpacing/>
        <w:jc w:val="both"/>
        <w:rPr>
          <w:rFonts w:eastAsiaTheme="minorEastAsia"/>
          <w:color w:val="000000" w:themeColor="text1"/>
        </w:rPr>
      </w:pPr>
      <w:r>
        <w:rPr>
          <w:noProof/>
        </w:rPr>
        <mc:AlternateContent>
          <mc:Choice Requires="wpg">
            <w:drawing>
              <wp:inline distT="0" distB="0" distL="0" distR="0" wp14:anchorId="3B99991A" wp14:editId="0E93538A">
                <wp:extent cx="4962525" cy="2962275"/>
                <wp:effectExtent l="0" t="0" r="0" b="0"/>
                <wp:docPr id="1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28937098" name="Picture 528937098"/>
                        <pic:cNvPicPr>
                          <a:picLocks noChangeAspect="1"/>
                        </pic:cNvPicPr>
                      </pic:nvPicPr>
                      <pic:blipFill rotWithShape="1">
                        <a:blip r:embed="rId7"/>
                        <a:stretch/>
                      </pic:blipFill>
                      <pic:spPr bwMode="auto">
                        <a:xfrm>
                          <a:off x="0" y="0"/>
                          <a:ext cx="4962525" cy="29622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width:390.75pt;height:233.25pt;mso-wrap-distance-left:0.00pt;mso-wrap-distance-top:0.00pt;mso-wrap-distance-right:0.00pt;mso-wrap-distance-bottom:0.00pt;z-index:1;" stroked="false">
                <v:imagedata r:id="rId9" o:title=""/>
                <o:lock v:ext="edit" rotation="t"/>
              </v:shape>
            </w:pict>
          </mc:Fallback>
        </mc:AlternateContent>
      </w:r>
    </w:p>
    <w:p w14:paraId="1ED872F5" w14:textId="77777777" w:rsidR="002B588E" w:rsidRDefault="00000000">
      <w:pPr>
        <w:contextualSpacing/>
        <w:jc w:val="right"/>
        <w:rPr>
          <w:rFonts w:eastAsiaTheme="minorEastAsia"/>
          <w:color w:val="000000" w:themeColor="text1"/>
        </w:rPr>
      </w:pPr>
      <w:r>
        <w:rPr>
          <w:rFonts w:eastAsiaTheme="minorEastAsia"/>
          <w:i/>
          <w:iCs/>
          <w:color w:val="000000" w:themeColor="text1"/>
        </w:rPr>
        <w:t xml:space="preserve">Source : </w:t>
      </w:r>
      <w:hyperlink r:id="rId10" w:tooltip="https://svt07.wordpress.com/wp-content/uploads/2016/05/fc3a9condation-bilan.jpg" w:history="1">
        <w:r>
          <w:rPr>
            <w:rStyle w:val="Lienhypertexte"/>
            <w:rFonts w:eastAsiaTheme="minorEastAsia"/>
            <w:i/>
            <w:iCs/>
          </w:rPr>
          <w:t>https://svt07.wordpress.com/wp-content/uploads/2016/05/fc3a9condation-bilan.jpg</w:t>
        </w:r>
      </w:hyperlink>
    </w:p>
    <w:p w14:paraId="70BED7D9" w14:textId="77777777" w:rsidR="002B588E" w:rsidRDefault="00000000">
      <w:pPr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br w:type="page" w:clear="all"/>
      </w:r>
    </w:p>
    <w:p w14:paraId="646B9E89" w14:textId="77777777" w:rsidR="002B588E" w:rsidRDefault="00000000">
      <w:pPr>
        <w:contextualSpacing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  <w:u w:val="single"/>
        </w:rPr>
        <w:lastRenderedPageBreak/>
        <w:t>Document 2 </w:t>
      </w:r>
      <w:r>
        <w:rPr>
          <w:rFonts w:eastAsiaTheme="minorEastAsia"/>
          <w:color w:val="000000" w:themeColor="text1"/>
        </w:rPr>
        <w:t xml:space="preserve">: Le slip chauffant </w:t>
      </w:r>
    </w:p>
    <w:p w14:paraId="0FADCD9B" w14:textId="77777777" w:rsidR="002B588E" w:rsidRDefault="002B588E">
      <w:pPr>
        <w:contextualSpacing/>
        <w:jc w:val="both"/>
        <w:rPr>
          <w:rFonts w:eastAsiaTheme="minorEastAsia"/>
          <w:color w:val="000000" w:themeColor="text1"/>
        </w:rPr>
      </w:pPr>
    </w:p>
    <w:p w14:paraId="19B57300" w14:textId="77777777" w:rsidR="002B588E" w:rsidRDefault="00000000">
      <w:pPr>
        <w:contextualSpacing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>Le slip chauffant permet une augmentation de la température des testicules</w:t>
      </w:r>
    </w:p>
    <w:p w14:paraId="6109899C" w14:textId="77777777" w:rsidR="002B588E" w:rsidRDefault="00000000">
      <w:pPr>
        <w:contextualSpacing/>
        <w:jc w:val="center"/>
        <w:rPr>
          <w:rFonts w:eastAsiaTheme="minorEastAsia"/>
        </w:rPr>
      </w:pPr>
      <w:r>
        <w:rPr>
          <w:noProof/>
        </w:rPr>
        <mc:AlternateContent>
          <mc:Choice Requires="wpg">
            <w:drawing>
              <wp:inline distT="0" distB="0" distL="0" distR="0" wp14:anchorId="44F8877C" wp14:editId="0D727C49">
                <wp:extent cx="5155270" cy="3463420"/>
                <wp:effectExtent l="0" t="0" r="0" b="0"/>
                <wp:docPr id="2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51550257" name="Picture 647608344"/>
                        <pic:cNvPicPr>
                          <a:picLocks noChangeAspect="1"/>
                        </pic:cNvPicPr>
                      </pic:nvPicPr>
                      <pic:blipFill rotWithShape="1"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5155269" cy="346341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width:405.93pt;height:272.71pt;mso-wrap-distance-left:0.00pt;mso-wrap-distance-top:0.00pt;mso-wrap-distance-right:0.00pt;mso-wrap-distance-bottom:0.00pt;z-index:1;" stroked="false">
                <v:imagedata r:id="rId12" o:title=""/>
                <o:lock v:ext="edit" rotation="t"/>
              </v:shape>
            </w:pict>
          </mc:Fallback>
        </mc:AlternateContent>
      </w:r>
    </w:p>
    <w:p w14:paraId="45F111DE" w14:textId="77777777" w:rsidR="002B588E" w:rsidRDefault="00000000">
      <w:pPr>
        <w:contextualSpacing/>
        <w:jc w:val="right"/>
        <w:rPr>
          <w:rFonts w:eastAsiaTheme="minorEastAsia"/>
          <w:color w:val="000000" w:themeColor="text1"/>
        </w:rPr>
      </w:pPr>
      <w:r>
        <w:rPr>
          <w:rFonts w:eastAsiaTheme="minorEastAsia"/>
          <w:i/>
          <w:iCs/>
          <w:color w:val="000000" w:themeColor="text1"/>
          <w:u w:val="single"/>
        </w:rPr>
        <w:t>Source</w:t>
      </w:r>
      <w:r>
        <w:rPr>
          <w:rFonts w:eastAsiaTheme="minorEastAsia"/>
          <w:i/>
          <w:iCs/>
          <w:color w:val="000000" w:themeColor="text1"/>
        </w:rPr>
        <w:t xml:space="preserve"> : Le Monde, infographie d’Audrey Lagadec à partir des ouvrages Les </w:t>
      </w:r>
      <w:proofErr w:type="spellStart"/>
      <w:r>
        <w:rPr>
          <w:rFonts w:eastAsiaTheme="minorEastAsia"/>
          <w:i/>
          <w:iCs/>
          <w:color w:val="000000" w:themeColor="text1"/>
        </w:rPr>
        <w:t>contraceptés</w:t>
      </w:r>
      <w:proofErr w:type="spellEnd"/>
      <w:r>
        <w:rPr>
          <w:rFonts w:eastAsiaTheme="minorEastAsia"/>
          <w:i/>
          <w:iCs/>
          <w:color w:val="000000" w:themeColor="text1"/>
        </w:rPr>
        <w:t xml:space="preserve"> de G. </w:t>
      </w:r>
      <w:proofErr w:type="spellStart"/>
      <w:r>
        <w:rPr>
          <w:rFonts w:eastAsiaTheme="minorEastAsia"/>
          <w:i/>
          <w:iCs/>
          <w:color w:val="000000" w:themeColor="text1"/>
        </w:rPr>
        <w:t>Daudin</w:t>
      </w:r>
      <w:proofErr w:type="spellEnd"/>
      <w:r>
        <w:rPr>
          <w:rFonts w:eastAsiaTheme="minorEastAsia"/>
          <w:i/>
          <w:iCs/>
          <w:color w:val="000000" w:themeColor="text1"/>
        </w:rPr>
        <w:t xml:space="preserve"> et S. Jourdain et du Grand atlas d’anatomie humaine de </w:t>
      </w:r>
      <w:proofErr w:type="spellStart"/>
      <w:r>
        <w:rPr>
          <w:rFonts w:eastAsiaTheme="minorEastAsia"/>
          <w:i/>
          <w:iCs/>
          <w:color w:val="000000" w:themeColor="text1"/>
        </w:rPr>
        <w:t>Vigué</w:t>
      </w:r>
      <w:proofErr w:type="spellEnd"/>
      <w:r>
        <w:rPr>
          <w:rFonts w:eastAsiaTheme="minorEastAsia"/>
          <w:i/>
          <w:iCs/>
          <w:color w:val="000000" w:themeColor="text1"/>
        </w:rPr>
        <w:t>-Martin</w:t>
      </w:r>
    </w:p>
    <w:p w14:paraId="4C475694" w14:textId="77777777" w:rsidR="002B588E" w:rsidRDefault="00000000">
      <w:pPr>
        <w:contextualSpacing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  <w:u w:val="single"/>
        </w:rPr>
        <w:t>Document 3 </w:t>
      </w:r>
      <w:r>
        <w:rPr>
          <w:rFonts w:eastAsiaTheme="minorEastAsia"/>
          <w:color w:val="000000" w:themeColor="text1"/>
        </w:rPr>
        <w:t xml:space="preserve">: L’implant contraceptif </w:t>
      </w:r>
    </w:p>
    <w:p w14:paraId="67D138F1" w14:textId="77777777" w:rsidR="002B588E" w:rsidRDefault="002B588E">
      <w:pPr>
        <w:contextualSpacing/>
        <w:jc w:val="both"/>
        <w:rPr>
          <w:rFonts w:eastAsiaTheme="minorEastAsia"/>
          <w:color w:val="000000" w:themeColor="text1"/>
        </w:rPr>
      </w:pPr>
    </w:p>
    <w:p w14:paraId="608252D6" w14:textId="77777777" w:rsidR="002B588E" w:rsidRDefault="00000000">
      <w:pPr>
        <w:contextualSpacing/>
        <w:jc w:val="center"/>
        <w:rPr>
          <w:rFonts w:eastAsiaTheme="minorEastAsia"/>
        </w:rPr>
      </w:pPr>
      <w:r>
        <w:rPr>
          <w:noProof/>
        </w:rPr>
        <mc:AlternateContent>
          <mc:Choice Requires="wpg">
            <w:drawing>
              <wp:inline distT="0" distB="0" distL="0" distR="0" wp14:anchorId="7C16C6FF" wp14:editId="10DD139C">
                <wp:extent cx="5900590" cy="3778075"/>
                <wp:effectExtent l="0" t="0" r="0" b="0"/>
                <wp:docPr id="3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10233295" name="Picture 608935734"/>
                        <pic:cNvPicPr>
                          <a:picLocks noChangeAspect="1"/>
                        </pic:cNvPicPr>
                      </pic:nvPicPr>
                      <pic:blipFill rotWithShape="1">
                        <a:blip r:embed="rId13"/>
                        <a:stretch/>
                      </pic:blipFill>
                      <pic:spPr bwMode="auto">
                        <a:xfrm>
                          <a:off x="0" y="0"/>
                          <a:ext cx="5900589" cy="3778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width:464.61pt;height:297.49pt;mso-wrap-distance-left:0.00pt;mso-wrap-distance-top:0.00pt;mso-wrap-distance-right:0.00pt;mso-wrap-distance-bottom:0.00pt;z-index:1;" stroked="false">
                <v:imagedata r:id="rId14" o:title=""/>
                <o:lock v:ext="edit" rotation="t"/>
              </v:shape>
            </w:pict>
          </mc:Fallback>
        </mc:AlternateContent>
      </w:r>
    </w:p>
    <w:p w14:paraId="02B0BB0E" w14:textId="77777777" w:rsidR="002B588E" w:rsidRDefault="002B588E">
      <w:pPr>
        <w:contextualSpacing/>
        <w:jc w:val="both"/>
        <w:rPr>
          <w:rFonts w:eastAsiaTheme="minorEastAsia"/>
        </w:rPr>
      </w:pPr>
    </w:p>
    <w:p w14:paraId="5104BD5C" w14:textId="77777777" w:rsidR="002B588E" w:rsidRDefault="00000000">
      <w:pPr>
        <w:contextualSpacing/>
        <w:jc w:val="right"/>
        <w:rPr>
          <w:rFonts w:eastAsiaTheme="minorEastAsia"/>
          <w:color w:val="000000" w:themeColor="text1"/>
        </w:rPr>
      </w:pPr>
      <w:r>
        <w:rPr>
          <w:rFonts w:eastAsiaTheme="minorEastAsia"/>
          <w:i/>
          <w:iCs/>
          <w:color w:val="000000" w:themeColor="text1"/>
        </w:rPr>
        <w:t>Source : DNB Asie 2019</w:t>
      </w:r>
    </w:p>
    <w:p w14:paraId="3DE151E2" w14:textId="77777777" w:rsidR="002B588E" w:rsidRDefault="002B588E">
      <w:pPr>
        <w:contextualSpacing/>
        <w:jc w:val="both"/>
        <w:rPr>
          <w:rFonts w:eastAsiaTheme="minorEastAsia"/>
          <w:color w:val="000000" w:themeColor="text1"/>
        </w:rPr>
      </w:pPr>
    </w:p>
    <w:p w14:paraId="080F2552" w14:textId="77777777" w:rsidR="002B588E" w:rsidRDefault="002B588E">
      <w:pPr>
        <w:jc w:val="both"/>
        <w:rPr>
          <w:rFonts w:eastAsiaTheme="minorEastAsia"/>
        </w:rPr>
      </w:pPr>
    </w:p>
    <w:p w14:paraId="32F8D895" w14:textId="77777777" w:rsidR="008C55EF" w:rsidRDefault="008C55EF">
      <w:pPr>
        <w:jc w:val="both"/>
        <w:rPr>
          <w:rFonts w:eastAsiaTheme="minorEastAsia"/>
        </w:rPr>
      </w:pPr>
    </w:p>
    <w:p w14:paraId="48176293" w14:textId="77777777" w:rsidR="002B588E" w:rsidRDefault="002B588E">
      <w:pPr>
        <w:contextualSpacing/>
        <w:jc w:val="both"/>
        <w:rPr>
          <w:rFonts w:eastAsiaTheme="minorEastAsia"/>
          <w:color w:val="000000" w:themeColor="text1"/>
        </w:rPr>
      </w:pPr>
    </w:p>
    <w:p w14:paraId="442D8C8D" w14:textId="77777777" w:rsidR="002B588E" w:rsidRDefault="00000000">
      <w:pPr>
        <w:contextualSpacing/>
        <w:jc w:val="both"/>
        <w:rPr>
          <w:rFonts w:eastAsiaTheme="minorEastAsia"/>
        </w:rPr>
      </w:pPr>
      <w:r>
        <w:rPr>
          <w:rFonts w:eastAsiaTheme="minorEastAsia"/>
          <w:u w:val="single"/>
        </w:rPr>
        <w:t>Document 4 </w:t>
      </w:r>
      <w:r>
        <w:rPr>
          <w:rFonts w:eastAsiaTheme="minorEastAsia"/>
        </w:rPr>
        <w:t xml:space="preserve">: Les préservatifs </w:t>
      </w:r>
    </w:p>
    <w:p w14:paraId="2275CD53" w14:textId="77777777" w:rsidR="002B588E" w:rsidRDefault="002B588E">
      <w:pPr>
        <w:contextualSpacing/>
        <w:jc w:val="both"/>
        <w:rPr>
          <w:rFonts w:eastAsiaTheme="minorEastAsia"/>
        </w:rPr>
      </w:pPr>
    </w:p>
    <w:p w14:paraId="1C52A34D" w14:textId="77777777" w:rsidR="002B588E" w:rsidRDefault="00000000">
      <w:pPr>
        <w:contextualSpacing/>
        <w:jc w:val="center"/>
        <w:rPr>
          <w:rFonts w:eastAsiaTheme="minorEastAsia"/>
        </w:rPr>
      </w:pPr>
      <w:r>
        <w:rPr>
          <w:noProof/>
        </w:rPr>
        <mc:AlternateContent>
          <mc:Choice Requires="wpg">
            <w:drawing>
              <wp:inline distT="0" distB="0" distL="0" distR="0" wp14:anchorId="0C45FB9A" wp14:editId="73D1F1B3">
                <wp:extent cx="4880496" cy="2627959"/>
                <wp:effectExtent l="0" t="0" r="0" b="0"/>
                <wp:docPr id="4" name="drawing" title="La contraception et la PMA : cours de SVT - SchoolMou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972880" name="Picture 15884948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4880496" cy="26279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3" o:spid="_x0000_s3" type="#_x0000_t75" style="width:384.29pt;height:206.93pt;mso-wrap-distance-left:0.00pt;mso-wrap-distance-top:0.00pt;mso-wrap-distance-right:0.00pt;mso-wrap-distance-bottom:0.00pt;z-index:1;" stroked="false">
                <v:imagedata r:id="rId16" o:title=""/>
                <o:lock v:ext="edit" rotation="t"/>
              </v:shape>
            </w:pict>
          </mc:Fallback>
        </mc:AlternateContent>
      </w:r>
    </w:p>
    <w:p w14:paraId="294F72A7" w14:textId="77777777" w:rsidR="002B588E" w:rsidRDefault="00000000">
      <w:pPr>
        <w:contextualSpacing/>
        <w:jc w:val="right"/>
        <w:rPr>
          <w:rFonts w:eastAsiaTheme="minorEastAsia"/>
        </w:rPr>
      </w:pPr>
      <w:r>
        <w:rPr>
          <w:rFonts w:eastAsiaTheme="minorEastAsia"/>
          <w:i/>
          <w:iCs/>
          <w:u w:val="single"/>
        </w:rPr>
        <w:t>Source</w:t>
      </w:r>
      <w:r>
        <w:rPr>
          <w:rFonts w:eastAsiaTheme="minorEastAsia"/>
          <w:i/>
          <w:iCs/>
        </w:rPr>
        <w:t xml:space="preserve"> : </w:t>
      </w:r>
      <w:proofErr w:type="spellStart"/>
      <w:r>
        <w:rPr>
          <w:rFonts w:eastAsiaTheme="minorEastAsia"/>
          <w:i/>
          <w:iCs/>
        </w:rPr>
        <w:t>LeSchoolMouv</w:t>
      </w:r>
      <w:proofErr w:type="spellEnd"/>
    </w:p>
    <w:p w14:paraId="67EE348D" w14:textId="77777777" w:rsidR="002B588E" w:rsidRDefault="002B588E">
      <w:pPr>
        <w:contextualSpacing/>
        <w:jc w:val="both"/>
        <w:rPr>
          <w:rFonts w:eastAsiaTheme="minorEastAsia"/>
        </w:rPr>
      </w:pPr>
    </w:p>
    <w:p w14:paraId="3862F4CB" w14:textId="77777777" w:rsidR="002B588E" w:rsidRDefault="00000000">
      <w:pPr>
        <w:contextualSpacing/>
        <w:jc w:val="both"/>
        <w:rPr>
          <w:rFonts w:eastAsiaTheme="minorEastAsia"/>
          <w:b/>
          <w:bCs/>
          <w:u w:val="single"/>
        </w:rPr>
      </w:pPr>
      <w:r>
        <w:rPr>
          <w:rFonts w:eastAsiaTheme="minorEastAsia"/>
          <w:u w:val="single"/>
        </w:rPr>
        <w:t>Document 5</w:t>
      </w:r>
      <w:r>
        <w:rPr>
          <w:rFonts w:eastAsiaTheme="minorEastAsia"/>
        </w:rPr>
        <w:t> : La cape cervicale</w:t>
      </w:r>
      <w:r>
        <w:rPr>
          <w:rFonts w:eastAsiaTheme="minorEastAsia"/>
          <w:b/>
          <w:bCs/>
        </w:rPr>
        <w:t xml:space="preserve"> </w:t>
      </w:r>
    </w:p>
    <w:p w14:paraId="4755D4FB" w14:textId="77777777" w:rsidR="002B588E" w:rsidRDefault="002B588E">
      <w:pPr>
        <w:contextualSpacing/>
        <w:jc w:val="center"/>
        <w:rPr>
          <w:rFonts w:eastAsiaTheme="minorEastAsia"/>
          <w:color w:val="000000" w:themeColor="text1"/>
        </w:rPr>
      </w:pPr>
    </w:p>
    <w:p w14:paraId="42D874BB" w14:textId="77777777" w:rsidR="002B588E" w:rsidRDefault="00000000">
      <w:pPr>
        <w:contextualSpacing/>
        <w:jc w:val="center"/>
        <w:rPr>
          <w:rFonts w:eastAsiaTheme="minorEastAsia"/>
        </w:rPr>
      </w:pPr>
      <w:r>
        <w:rPr>
          <w:noProof/>
        </w:rPr>
        <mc:AlternateContent>
          <mc:Choice Requires="wpg">
            <w:drawing>
              <wp:inline distT="0" distB="0" distL="0" distR="0" wp14:anchorId="5832470D" wp14:editId="1BDCB4A3">
                <wp:extent cx="2706075" cy="2746264"/>
                <wp:effectExtent l="0" t="0" r="0" b="0"/>
                <wp:docPr id="5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4065737" name="Picture 1784192656"/>
                        <pic:cNvPicPr>
                          <a:picLocks noChangeAspect="1"/>
                        </pic:cNvPicPr>
                      </pic:nvPicPr>
                      <pic:blipFill rotWithShape="1">
                        <a:blip r:embed="rId17"/>
                        <a:stretch/>
                      </pic:blipFill>
                      <pic:spPr bwMode="auto">
                        <a:xfrm>
                          <a:off x="0" y="0"/>
                          <a:ext cx="2706074" cy="274626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 xmlns:a="http://schemas.openxmlformats.org/drawingml/2006/main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4" o:spid="_x0000_s4" type="#_x0000_t75" style="width:213.08pt;height:216.24pt;mso-wrap-distance-left:0.00pt;mso-wrap-distance-top:0.00pt;mso-wrap-distance-right:0.00pt;mso-wrap-distance-bottom:0.00pt;z-index:1;" stroked="false">
                <v:imagedata r:id="rId18" o:title=""/>
                <o:lock v:ext="edit" rotation="t"/>
              </v:shape>
            </w:pict>
          </mc:Fallback>
        </mc:AlternateContent>
      </w:r>
    </w:p>
    <w:p w14:paraId="0502F1B8" w14:textId="77777777" w:rsidR="002B588E" w:rsidRDefault="002B588E">
      <w:pPr>
        <w:contextualSpacing/>
        <w:jc w:val="both"/>
        <w:rPr>
          <w:rFonts w:eastAsiaTheme="minorEastAsia"/>
        </w:rPr>
      </w:pPr>
    </w:p>
    <w:p w14:paraId="5CFFD3C5" w14:textId="77777777" w:rsidR="002B588E" w:rsidRDefault="00000000">
      <w:pPr>
        <w:contextualSpacing/>
        <w:jc w:val="right"/>
        <w:rPr>
          <w:rFonts w:eastAsiaTheme="minorEastAsia"/>
        </w:rPr>
      </w:pPr>
      <w:r>
        <w:rPr>
          <w:rFonts w:eastAsiaTheme="minorEastAsia"/>
          <w:i/>
          <w:iCs/>
          <w:u w:val="single"/>
        </w:rPr>
        <w:t>Source</w:t>
      </w:r>
      <w:r>
        <w:rPr>
          <w:rFonts w:eastAsiaTheme="minorEastAsia"/>
          <w:i/>
          <w:iCs/>
        </w:rPr>
        <w:t xml:space="preserve"> : </w:t>
      </w:r>
      <w:hyperlink r:id="rId19" w:tooltip="https://my.clevelandclinic.org/" w:history="1">
        <w:r>
          <w:rPr>
            <w:rStyle w:val="Lienhypertexte"/>
            <w:rFonts w:eastAsiaTheme="minorEastAsia"/>
            <w:i/>
            <w:iCs/>
          </w:rPr>
          <w:t>https://my.clevelandclinic.org/</w:t>
        </w:r>
      </w:hyperlink>
      <w:r>
        <w:rPr>
          <w:rFonts w:eastAsiaTheme="minorEastAsia"/>
          <w:i/>
          <w:iCs/>
        </w:rPr>
        <w:t>health/articles/17979-cervical-cap</w:t>
      </w:r>
    </w:p>
    <w:p w14:paraId="5D6C01AF" w14:textId="77777777" w:rsidR="002B588E" w:rsidRDefault="00000000">
      <w:pPr>
        <w:rPr>
          <w:rFonts w:eastAsiaTheme="minorEastAsia"/>
          <w:bCs/>
          <w:i/>
        </w:rPr>
      </w:pPr>
      <w:r>
        <w:rPr>
          <w:rFonts w:eastAsiaTheme="minorEastAsia"/>
          <w:bCs/>
          <w:i/>
        </w:rPr>
        <w:br w:type="page" w:clear="all"/>
      </w:r>
    </w:p>
    <w:p w14:paraId="13897D9B" w14:textId="77777777" w:rsidR="002B588E" w:rsidRDefault="00000000">
      <w:pPr>
        <w:contextualSpacing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  <w:u w:val="single"/>
        </w:rPr>
        <w:lastRenderedPageBreak/>
        <w:t>Document 6</w:t>
      </w:r>
      <w:r>
        <w:rPr>
          <w:rFonts w:eastAsiaTheme="minorEastAsia"/>
          <w:color w:val="000000" w:themeColor="text1"/>
        </w:rPr>
        <w:t> : Les pilules microprogestatives</w:t>
      </w:r>
    </w:p>
    <w:p w14:paraId="1CA44D6C" w14:textId="77777777" w:rsidR="002B588E" w:rsidRDefault="002B588E">
      <w:pPr>
        <w:contextualSpacing/>
        <w:jc w:val="both"/>
        <w:rPr>
          <w:rFonts w:eastAsiaTheme="minorEastAsia"/>
          <w:color w:val="000000" w:themeColor="text1"/>
        </w:rPr>
      </w:pPr>
    </w:p>
    <w:p w14:paraId="663ADEDB" w14:textId="77777777" w:rsidR="002B588E" w:rsidRDefault="00000000">
      <w:pPr>
        <w:contextualSpacing/>
        <w:jc w:val="both"/>
        <w:rPr>
          <w:rFonts w:eastAsiaTheme="minorEastAsia"/>
          <w:color w:val="000000" w:themeColor="text1"/>
        </w:rPr>
      </w:pPr>
      <w:r>
        <w:rPr>
          <w:rFonts w:eastAsiaTheme="minorEastAsia"/>
          <w:color w:val="000000" w:themeColor="text1"/>
        </w:rPr>
        <w:t xml:space="preserve">Ces pilules contiennent des progestatifs de synthèse (ressemblant à la progestérone, hormone féminine) qui agissent sur la glaire cervicale. </w:t>
      </w:r>
    </w:p>
    <w:p w14:paraId="7B84615B" w14:textId="77777777" w:rsidR="002B588E" w:rsidRDefault="002B588E">
      <w:pPr>
        <w:contextualSpacing/>
        <w:jc w:val="both"/>
        <w:rPr>
          <w:rFonts w:eastAsiaTheme="minorEastAsia"/>
          <w:color w:val="000000" w:themeColor="text1"/>
        </w:rPr>
      </w:pPr>
    </w:p>
    <w:tbl>
      <w:tblPr>
        <w:tblStyle w:val="Grilledutableau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2580"/>
        <w:gridCol w:w="2580"/>
        <w:gridCol w:w="2580"/>
        <w:gridCol w:w="2580"/>
      </w:tblGrid>
      <w:tr w:rsidR="002B588E" w14:paraId="1CF318B5" w14:textId="77777777">
        <w:trPr>
          <w:trHeight w:val="300"/>
        </w:trPr>
        <w:tc>
          <w:tcPr>
            <w:tcW w:w="25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105" w:type="dxa"/>
              <w:right w:w="105" w:type="dxa"/>
            </w:tcMar>
          </w:tcPr>
          <w:p w14:paraId="2097CC2F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7D0A8ECD" wp14:editId="19155A84">
                      <wp:extent cx="1352550" cy="2333625"/>
                      <wp:effectExtent l="0" t="0" r="0" b="0"/>
                      <wp:docPr id="6" name="drawing" title="glaire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475336056" name="Picture 147533605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52550" cy="2333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5" o:spid="_x0000_s5" type="#_x0000_t75" style="width:106.50pt;height:183.75pt;mso-wrap-distance-left:0.00pt;mso-wrap-distance-top:0.00pt;mso-wrap-distance-right:0.00pt;mso-wrap-distance-bottom:0.00pt;z-index:1;" stroked="false">
                      <v:imagedata r:id="rId21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25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7A80DEBE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33E4029" wp14:editId="6630464D">
                      <wp:extent cx="1390650" cy="1095375"/>
                      <wp:effectExtent l="0" t="0" r="0" b="0"/>
                      <wp:docPr id="7" name="drawi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823604727" name="Picture 823604727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90650" cy="10953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6" o:spid="_x0000_s6" type="#_x0000_t75" style="width:109.50pt;height:86.25pt;mso-wrap-distance-left:0.00pt;mso-wrap-distance-top:0.00pt;mso-wrap-distance-right:0.00pt;mso-wrap-distance-bottom:0.00pt;z-index:1;" stroked="false">
                      <v:imagedata r:id="rId23" o:title=""/>
                      <o:lock v:ext="edit" rotation="t"/>
                    </v:shape>
                  </w:pict>
                </mc:Fallback>
              </mc:AlternateContent>
            </w:r>
          </w:p>
          <w:p w14:paraId="3CEE1DA7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Les spermatozoïdes peuvent passent. </w:t>
            </w:r>
          </w:p>
        </w:tc>
        <w:tc>
          <w:tcPr>
            <w:tcW w:w="258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left w:w="105" w:type="dxa"/>
              <w:right w:w="105" w:type="dxa"/>
            </w:tcMar>
          </w:tcPr>
          <w:p w14:paraId="15F4689C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6505D6E8" wp14:editId="2C126171">
                      <wp:extent cx="1295400" cy="2333625"/>
                      <wp:effectExtent l="0" t="0" r="0" b="0"/>
                      <wp:docPr id="8" name="drawing" title="glaire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411610416" name="Picture 41161041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4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295400" cy="23336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7" o:spid="_x0000_s7" type="#_x0000_t75" style="width:102.00pt;height:183.75pt;mso-wrap-distance-left:0.00pt;mso-wrap-distance-top:0.00pt;mso-wrap-distance-right:0.00pt;mso-wrap-distance-bottom:0.00pt;z-index:1;" stroked="false">
                      <v:imagedata r:id="rId25" o:title=""/>
                      <o:lock v:ext="edit" rotation="t"/>
                    </v:shape>
                  </w:pict>
                </mc:Fallback>
              </mc:AlternateContent>
            </w:r>
          </w:p>
        </w:tc>
        <w:tc>
          <w:tcPr>
            <w:tcW w:w="25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105" w:type="dxa"/>
              <w:right w:w="105" w:type="dxa"/>
            </w:tcMar>
            <w:vAlign w:val="center"/>
          </w:tcPr>
          <w:p w14:paraId="5C5DF373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830F9C0" wp14:editId="69EA2273">
                      <wp:extent cx="1390650" cy="1095375"/>
                      <wp:effectExtent l="0" t="0" r="0" b="0"/>
                      <wp:docPr id="9" name="drawi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93455043" name="Picture 393455043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90650" cy="109537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8" o:spid="_x0000_s8" type="#_x0000_t75" style="width:109.50pt;height:86.25pt;mso-wrap-distance-left:0.00pt;mso-wrap-distance-top:0.00pt;mso-wrap-distance-right:0.00pt;mso-wrap-distance-bottom:0.00pt;z-index:1;" stroked="false">
                      <v:imagedata r:id="rId27" o:title=""/>
                      <o:lock v:ext="edit" rotation="t"/>
                    </v:shape>
                  </w:pict>
                </mc:Fallback>
              </mc:AlternateContent>
            </w:r>
          </w:p>
          <w:p w14:paraId="1B516742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La glaire est épaisse, le passage est difficile.</w:t>
            </w:r>
          </w:p>
        </w:tc>
      </w:tr>
      <w:tr w:rsidR="002B588E" w14:paraId="09FBF417" w14:textId="77777777">
        <w:trPr>
          <w:trHeight w:val="300"/>
        </w:trPr>
        <w:tc>
          <w:tcPr>
            <w:tcW w:w="516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105" w:type="dxa"/>
              <w:right w:w="105" w:type="dxa"/>
            </w:tcMar>
          </w:tcPr>
          <w:p w14:paraId="3507A767" w14:textId="77777777" w:rsidR="002B588E" w:rsidRDefault="00000000">
            <w:pPr>
              <w:spacing w:line="259" w:lineRule="auto"/>
              <w:contextualSpacing/>
              <w:jc w:val="center"/>
              <w:rPr>
                <w:rFonts w:eastAsiaTheme="minorEastAsia"/>
                <w:color w:val="2D2D2D"/>
              </w:rPr>
            </w:pPr>
            <w:r>
              <w:rPr>
                <w:rFonts w:eastAsiaTheme="minorEastAsia"/>
                <w:color w:val="2D2D2D"/>
                <w:u w:val="single"/>
              </w:rPr>
              <w:t>Glaire cervicale pendant l’ovulation</w:t>
            </w:r>
            <w:r>
              <w:rPr>
                <w:rFonts w:eastAsiaTheme="minorEastAsia"/>
                <w:color w:val="2D2D2D"/>
              </w:rPr>
              <w:t>.</w:t>
            </w:r>
            <w:r>
              <w:br/>
            </w:r>
            <w:r>
              <w:rPr>
                <w:rFonts w:eastAsiaTheme="minorEastAsia"/>
                <w:color w:val="2D2D2D"/>
              </w:rPr>
              <w:t>(X 8 148)</w:t>
            </w:r>
          </w:p>
        </w:tc>
        <w:tc>
          <w:tcPr>
            <w:tcW w:w="5160" w:type="dxa"/>
            <w:gridSpan w:val="2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105" w:type="dxa"/>
              <w:right w:w="105" w:type="dxa"/>
            </w:tcMar>
          </w:tcPr>
          <w:p w14:paraId="01ADF77C" w14:textId="77777777" w:rsidR="002B588E" w:rsidRDefault="00000000">
            <w:pPr>
              <w:spacing w:line="259" w:lineRule="auto"/>
              <w:contextualSpacing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u w:val="single"/>
              </w:rPr>
              <w:t>Glaire cervicale avant ou après l’ovulation ou pendant toute la durée de la prise de pilule contraceptive</w:t>
            </w:r>
            <w:r>
              <w:br/>
            </w:r>
            <w:r>
              <w:rPr>
                <w:rFonts w:eastAsiaTheme="minorEastAsia"/>
              </w:rPr>
              <w:t>(X 4400)</w:t>
            </w:r>
          </w:p>
        </w:tc>
      </w:tr>
    </w:tbl>
    <w:p w14:paraId="21CFD7FF" w14:textId="77777777" w:rsidR="002B588E" w:rsidRDefault="00000000">
      <w:pPr>
        <w:contextualSpacing/>
        <w:jc w:val="right"/>
        <w:rPr>
          <w:rFonts w:eastAsiaTheme="minorEastAsia"/>
          <w:color w:val="000000" w:themeColor="text1"/>
        </w:rPr>
      </w:pPr>
      <w:r>
        <w:rPr>
          <w:rFonts w:eastAsiaTheme="minorEastAsia"/>
          <w:i/>
          <w:iCs/>
          <w:color w:val="000000" w:themeColor="text1"/>
        </w:rPr>
        <w:t>Source : BAC ES-L 2012, Pondichéry et parents.fr</w:t>
      </w:r>
    </w:p>
    <w:p w14:paraId="3D9E209A" w14:textId="77777777" w:rsidR="002B588E" w:rsidRDefault="002B588E">
      <w:pPr>
        <w:contextualSpacing/>
        <w:jc w:val="both"/>
        <w:rPr>
          <w:rFonts w:eastAsiaTheme="minorEastAsia"/>
          <w:color w:val="000000" w:themeColor="text1"/>
        </w:rPr>
      </w:pPr>
    </w:p>
    <w:tbl>
      <w:tblPr>
        <w:tblStyle w:val="Grilledutableau"/>
        <w:tblW w:w="0" w:type="auto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4256"/>
        <w:gridCol w:w="6180"/>
      </w:tblGrid>
      <w:tr w:rsidR="002B588E" w14:paraId="3982A241" w14:textId="77777777">
        <w:trPr>
          <w:trHeight w:val="300"/>
        </w:trPr>
        <w:tc>
          <w:tcPr>
            <w:tcW w:w="4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105" w:type="dxa"/>
              <w:right w:w="105" w:type="dxa"/>
            </w:tcMar>
          </w:tcPr>
          <w:p w14:paraId="76558FC4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</w:rPr>
            </w:pPr>
            <w:r>
              <w:rPr>
                <w:rFonts w:eastAsiaTheme="minorEastAsia"/>
                <w:u w:val="single"/>
              </w:rPr>
              <w:t>Document 7 :</w:t>
            </w:r>
            <w:r>
              <w:rPr>
                <w:rFonts w:eastAsiaTheme="minorEastAsia"/>
              </w:rPr>
              <w:t xml:space="preserve"> Le stérilet ou dispositif intra-utérin (DIU) au cuivre</w:t>
            </w:r>
          </w:p>
          <w:p w14:paraId="4B79563A" w14:textId="77777777" w:rsidR="002B588E" w:rsidRDefault="002B588E">
            <w:pPr>
              <w:spacing w:line="259" w:lineRule="auto"/>
              <w:contextualSpacing/>
              <w:jc w:val="both"/>
              <w:rPr>
                <w:rFonts w:eastAsiaTheme="minorEastAsia"/>
              </w:rPr>
            </w:pPr>
          </w:p>
          <w:p w14:paraId="08EDCB03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</w:rPr>
            </w:pPr>
            <w:r>
              <w:rPr>
                <w:rFonts w:eastAsiaTheme="minorEastAsia"/>
              </w:rPr>
              <w:t>Ce dispositif libère des ions cuivre qui réduisent la mobilité, la viabilité et la capacité à féconder des spermatozoïdes. Il provoque aussi une réaction inflammatoire de la muqueuse utérine ce qui réduit les chances de nidation.</w:t>
            </w:r>
          </w:p>
          <w:p w14:paraId="2591E0B2" w14:textId="77777777" w:rsidR="002B588E" w:rsidRDefault="002B588E">
            <w:pPr>
              <w:spacing w:line="259" w:lineRule="auto"/>
              <w:contextualSpacing/>
              <w:jc w:val="both"/>
              <w:rPr>
                <w:rFonts w:eastAsiaTheme="minorEastAsia"/>
              </w:rPr>
            </w:pPr>
          </w:p>
          <w:p w14:paraId="6865E5C0" w14:textId="77777777" w:rsidR="002B588E" w:rsidRDefault="002B588E">
            <w:pPr>
              <w:spacing w:line="259" w:lineRule="auto"/>
              <w:contextualSpacing/>
              <w:jc w:val="both"/>
              <w:rPr>
                <w:rFonts w:eastAsiaTheme="minorEastAsia"/>
              </w:rPr>
            </w:pPr>
          </w:p>
        </w:tc>
        <w:tc>
          <w:tcPr>
            <w:tcW w:w="618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left w:w="105" w:type="dxa"/>
              <w:right w:w="105" w:type="dxa"/>
            </w:tcMar>
          </w:tcPr>
          <w:p w14:paraId="282BF5D5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</w:rPr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56387E9A" wp14:editId="505DB834">
                      <wp:extent cx="3790950" cy="3143250"/>
                      <wp:effectExtent l="0" t="0" r="0" b="0"/>
                      <wp:docPr id="10" name="drawing" title="Stérilets au cuivre ou hormonal : quelles sont les différences ?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96859456" name="Picture 96859456"/>
                              <pic:cNvPicPr>
                                <a:picLocks noChangeAspect="1"/>
                              </pic:cNvPicPr>
                            </pic:nvPicPr>
                            <pic:blipFill rotWithShape="1">
                              <a:blip r:embed="rId2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3790949" cy="31432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9" o:spid="_x0000_s9" type="#_x0000_t75" style="width:298.50pt;height:247.50pt;mso-wrap-distance-left:0.00pt;mso-wrap-distance-top:0.00pt;mso-wrap-distance-right:0.00pt;mso-wrap-distance-bottom:0.00pt;z-index:1;" stroked="false">
                      <v:imagedata r:id="rId29" o:title=""/>
                      <o:lock v:ext="edit" rotation="t"/>
                    </v:shape>
                  </w:pict>
                </mc:Fallback>
              </mc:AlternateContent>
            </w:r>
          </w:p>
        </w:tc>
      </w:tr>
    </w:tbl>
    <w:p w14:paraId="63976217" w14:textId="77777777" w:rsidR="002B588E" w:rsidRDefault="00000000">
      <w:pPr>
        <w:contextualSpacing/>
        <w:jc w:val="right"/>
        <w:rPr>
          <w:rFonts w:eastAsiaTheme="minorEastAsia"/>
        </w:rPr>
      </w:pPr>
      <w:r>
        <w:rPr>
          <w:rFonts w:eastAsiaTheme="minorEastAsia"/>
          <w:i/>
          <w:iCs/>
        </w:rPr>
        <w:t>Source : Le Figaro Santé</w:t>
      </w:r>
    </w:p>
    <w:p w14:paraId="419AFB53" w14:textId="77777777" w:rsidR="002B588E" w:rsidRDefault="002B588E">
      <w:pPr>
        <w:jc w:val="both"/>
        <w:rPr>
          <w:rFonts w:eastAsiaTheme="minorEastAsia"/>
          <w:b/>
          <w:bCs/>
          <w:color w:val="00B0F0"/>
        </w:rPr>
      </w:pPr>
    </w:p>
    <w:p w14:paraId="71A8795D" w14:textId="77777777" w:rsidR="002B588E" w:rsidRDefault="002B588E">
      <w:pPr>
        <w:ind w:left="708"/>
        <w:jc w:val="both"/>
        <w:rPr>
          <w:rFonts w:eastAsiaTheme="minorEastAsia"/>
        </w:rPr>
      </w:pPr>
    </w:p>
    <w:p w14:paraId="6744D94C" w14:textId="77777777" w:rsidR="002B588E" w:rsidRDefault="002B588E">
      <w:pPr>
        <w:ind w:left="708"/>
        <w:jc w:val="both"/>
        <w:rPr>
          <w:rFonts w:eastAsiaTheme="minorEastAsia"/>
        </w:rPr>
      </w:pPr>
    </w:p>
    <w:p w14:paraId="575123D5" w14:textId="77777777" w:rsidR="002B588E" w:rsidRDefault="002B588E">
      <w:pPr>
        <w:ind w:left="708"/>
        <w:jc w:val="both"/>
        <w:rPr>
          <w:rFonts w:eastAsiaTheme="minorEastAsia"/>
        </w:rPr>
      </w:pPr>
    </w:p>
    <w:p w14:paraId="5ED87972" w14:textId="77777777" w:rsidR="002B588E" w:rsidRDefault="002B588E">
      <w:pPr>
        <w:ind w:left="708"/>
        <w:jc w:val="both"/>
        <w:rPr>
          <w:rFonts w:eastAsiaTheme="minorEastAsia"/>
        </w:rPr>
      </w:pPr>
    </w:p>
    <w:p w14:paraId="31B7E6CD" w14:textId="77777777" w:rsidR="002B588E" w:rsidRDefault="002B588E">
      <w:pPr>
        <w:ind w:left="708"/>
        <w:jc w:val="both"/>
        <w:rPr>
          <w:rFonts w:eastAsiaTheme="minorEastAsia"/>
        </w:rPr>
      </w:pPr>
    </w:p>
    <w:p w14:paraId="771E1EE3" w14:textId="77777777" w:rsidR="002B588E" w:rsidRDefault="00000000">
      <w:pPr>
        <w:rPr>
          <w:rFonts w:eastAsiaTheme="minorEastAsia"/>
        </w:rPr>
      </w:pPr>
      <w:r>
        <w:rPr>
          <w:rFonts w:eastAsiaTheme="minorEastAsia"/>
        </w:rPr>
        <w:br w:type="page" w:clear="all"/>
      </w:r>
    </w:p>
    <w:p w14:paraId="5993D131" w14:textId="77777777" w:rsidR="002B588E" w:rsidRDefault="00000000">
      <w:pPr>
        <w:jc w:val="both"/>
        <w:rPr>
          <w:rFonts w:eastAsiaTheme="minorEastAsia"/>
        </w:rPr>
      </w:pPr>
      <w:r>
        <w:rPr>
          <w:rFonts w:eastAsiaTheme="minorEastAsia"/>
          <w:b/>
          <w:bCs/>
          <w:color w:val="00B0F0"/>
        </w:rPr>
        <w:lastRenderedPageBreak/>
        <w:t xml:space="preserve">Critères de réussite de la compétence travaillée </w:t>
      </w:r>
      <w:r>
        <w:rPr>
          <w:rFonts w:eastAsiaTheme="minorEastAsia"/>
        </w:rPr>
        <w:t xml:space="preserve">: </w:t>
      </w:r>
    </w:p>
    <w:tbl>
      <w:tblPr>
        <w:tblW w:w="0" w:type="auto"/>
        <w:tblInd w:w="6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8550"/>
        <w:gridCol w:w="1500"/>
      </w:tblGrid>
      <w:tr w:rsidR="002B588E" w14:paraId="2E0FF80D" w14:textId="77777777">
        <w:trPr>
          <w:trHeight w:val="390"/>
        </w:trPr>
        <w:tc>
          <w:tcPr>
            <w:tcW w:w="8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left w:w="60" w:type="dxa"/>
              <w:right w:w="60" w:type="dxa"/>
            </w:tcMar>
          </w:tcPr>
          <w:p w14:paraId="16CD1FD7" w14:textId="77777777" w:rsidR="002B588E" w:rsidRDefault="00000000">
            <w:pPr>
              <w:widowControl w:val="0"/>
              <w:spacing w:after="0" w:line="240" w:lineRule="auto"/>
              <w:contextualSpacing/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b/>
                <w:bCs/>
                <w:color w:val="000000" w:themeColor="text1"/>
              </w:rPr>
              <w:t>Je réussis si :</w:t>
            </w:r>
          </w:p>
          <w:p w14:paraId="564B492E" w14:textId="77777777" w:rsidR="002B588E" w:rsidRDefault="00000000">
            <w:pPr>
              <w:widowControl w:val="0"/>
              <w:spacing w:after="0" w:line="240" w:lineRule="auto"/>
              <w:contextualSpacing/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b/>
                <w:bCs/>
                <w:color w:val="000000" w:themeColor="text1"/>
              </w:rPr>
              <w:t>+/-</w:t>
            </w:r>
          </w:p>
        </w:tc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B4C6E7" w:themeFill="accent1" w:themeFillTint="66"/>
            <w:tcMar>
              <w:left w:w="60" w:type="dxa"/>
              <w:right w:w="60" w:type="dxa"/>
            </w:tcMar>
          </w:tcPr>
          <w:p w14:paraId="21434DE4" w14:textId="77777777" w:rsidR="002B588E" w:rsidRDefault="00000000">
            <w:pPr>
              <w:widowControl w:val="0"/>
              <w:spacing w:after="0" w:line="240" w:lineRule="auto"/>
              <w:contextualSpacing/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b/>
                <w:bCs/>
                <w:color w:val="000000" w:themeColor="text1"/>
              </w:rPr>
              <w:t>Evaluation</w:t>
            </w:r>
          </w:p>
        </w:tc>
      </w:tr>
      <w:tr w:rsidR="002B588E" w14:paraId="2840725D" w14:textId="77777777">
        <w:trPr>
          <w:trHeight w:val="570"/>
        </w:trPr>
        <w:tc>
          <w:tcPr>
            <w:tcW w:w="8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60" w:type="dxa"/>
              <w:right w:w="60" w:type="dxa"/>
            </w:tcMar>
          </w:tcPr>
          <w:p w14:paraId="35ABC47E" w14:textId="77777777" w:rsidR="002B588E" w:rsidRDefault="00000000">
            <w:pPr>
              <w:pStyle w:val="TableParagraph"/>
              <w:spacing w:before="33" w:line="228" w:lineRule="auto"/>
              <w:ind w:left="85" w:right="105"/>
              <w:contextualSpacing/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  <w:u w:val="single"/>
              </w:rPr>
              <w:t>PERTINENCE :</w:t>
            </w:r>
          </w:p>
          <w:p w14:paraId="199DF157" w14:textId="77777777" w:rsidR="002B588E" w:rsidRDefault="00000000">
            <w:pPr>
              <w:pStyle w:val="TableParagraph"/>
              <w:spacing w:before="33" w:line="228" w:lineRule="auto"/>
              <w:ind w:left="85" w:right="105"/>
              <w:contextualSpacing/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J’utilise uniquement les arguments </w:t>
            </w:r>
            <w: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utiles.</w:t>
            </w:r>
          </w:p>
          <w:p w14:paraId="5B4048BB" w14:textId="77777777" w:rsidR="002B588E" w:rsidRDefault="00000000">
            <w:pPr>
              <w:pStyle w:val="TableParagraph"/>
              <w:spacing w:before="33" w:line="228" w:lineRule="auto"/>
              <w:ind w:left="85" w:right="105"/>
              <w:contextualSpacing/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J’enchaîne les idées clés de façon </w:t>
            </w:r>
            <w: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 xml:space="preserve">logique (connecteurs logiques corrects) </w:t>
            </w:r>
            <w:r>
              <w:rPr>
                <w:rFonts w:asciiTheme="minorHAnsi" w:eastAsiaTheme="minorEastAsia" w:hAnsiTheme="minorHAnsi" w:cstheme="minorBidi"/>
                <w:color w:val="000000" w:themeColor="text1"/>
              </w:rPr>
              <w:t>pour répondre de façon cohérente au problème.</w:t>
            </w:r>
          </w:p>
          <w:p w14:paraId="4C331BA1" w14:textId="77777777" w:rsidR="002B588E" w:rsidRDefault="00000000">
            <w:pPr>
              <w:pStyle w:val="TableParagraph"/>
              <w:spacing w:before="33" w:line="228" w:lineRule="auto"/>
              <w:ind w:left="85" w:right="105"/>
              <w:contextualSpacing/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J’associe (mets en relation) les </w:t>
            </w:r>
            <w: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arguments</w:t>
            </w:r>
            <w:r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aux </w:t>
            </w:r>
            <w: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idées-clés (grâce à des connecteurs logiques)</w:t>
            </w:r>
            <w:r>
              <w:rPr>
                <w:rFonts w:asciiTheme="minorHAnsi" w:eastAsiaTheme="minorEastAsia" w:hAnsiTheme="minorHAnsi" w:cstheme="minorBidi"/>
                <w:color w:val="000000" w:themeColor="text1"/>
              </w:rPr>
              <w:t>.</w:t>
            </w:r>
          </w:p>
        </w:tc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60" w:type="dxa"/>
              <w:right w:w="60" w:type="dxa"/>
            </w:tcMar>
          </w:tcPr>
          <w:p w14:paraId="5FB7C654" w14:textId="77777777" w:rsidR="002B588E" w:rsidRDefault="002B588E">
            <w:pPr>
              <w:widowControl w:val="0"/>
              <w:jc w:val="both"/>
              <w:rPr>
                <w:rFonts w:eastAsiaTheme="minorEastAsia"/>
                <w:color w:val="000000" w:themeColor="text1"/>
              </w:rPr>
            </w:pPr>
          </w:p>
        </w:tc>
      </w:tr>
      <w:tr w:rsidR="002B588E" w14:paraId="62BED184" w14:textId="77777777">
        <w:trPr>
          <w:trHeight w:val="570"/>
        </w:trPr>
        <w:tc>
          <w:tcPr>
            <w:tcW w:w="8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60" w:type="dxa"/>
              <w:right w:w="60" w:type="dxa"/>
            </w:tcMar>
          </w:tcPr>
          <w:p w14:paraId="4B701833" w14:textId="77777777" w:rsidR="002B588E" w:rsidRDefault="00000000">
            <w:pPr>
              <w:pStyle w:val="TableParagraph"/>
              <w:spacing w:line="228" w:lineRule="auto"/>
              <w:ind w:left="85"/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  <w:u w:val="single"/>
              </w:rPr>
              <w:t>COMPLÉTUDE :</w:t>
            </w:r>
            <w:r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J’ai identifié dans mon texte </w:t>
            </w:r>
            <w: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 xml:space="preserve">toutes </w:t>
            </w:r>
            <w:r>
              <w:rPr>
                <w:rFonts w:asciiTheme="minorHAnsi" w:eastAsiaTheme="minorEastAsia" w:hAnsiTheme="minorHAnsi" w:cstheme="minorBidi"/>
                <w:color w:val="000000" w:themeColor="text1"/>
              </w:rPr>
              <w:t>les idées-clé et arguments utiles (issus des documents).</w:t>
            </w:r>
          </w:p>
        </w:tc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60" w:type="dxa"/>
              <w:right w:w="60" w:type="dxa"/>
            </w:tcMar>
          </w:tcPr>
          <w:p w14:paraId="265D4222" w14:textId="77777777" w:rsidR="002B588E" w:rsidRDefault="002B588E">
            <w:pPr>
              <w:widowControl w:val="0"/>
              <w:jc w:val="both"/>
              <w:rPr>
                <w:rFonts w:eastAsiaTheme="minorEastAsia"/>
                <w:color w:val="000000" w:themeColor="text1"/>
              </w:rPr>
            </w:pPr>
          </w:p>
        </w:tc>
      </w:tr>
      <w:tr w:rsidR="002B588E" w14:paraId="08F9B20C" w14:textId="77777777">
        <w:trPr>
          <w:trHeight w:val="570"/>
        </w:trPr>
        <w:tc>
          <w:tcPr>
            <w:tcW w:w="8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60" w:type="dxa"/>
              <w:right w:w="60" w:type="dxa"/>
            </w:tcMar>
          </w:tcPr>
          <w:p w14:paraId="4D789383" w14:textId="77777777" w:rsidR="002B588E" w:rsidRDefault="00000000">
            <w:pPr>
              <w:pStyle w:val="TableParagraph"/>
              <w:spacing w:before="105" w:line="264" w:lineRule="exact"/>
              <w:ind w:left="85"/>
              <w:contextualSpacing/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  <w:u w:val="single"/>
              </w:rPr>
              <w:t>EXACTITUDE :</w:t>
            </w:r>
            <w:r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Je suis </w:t>
            </w:r>
            <w: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rigoureux /rigoureuse</w:t>
            </w:r>
          </w:p>
          <w:p w14:paraId="25BFEB46" w14:textId="77777777" w:rsidR="002B588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05"/>
              </w:tabs>
              <w:spacing w:line="260" w:lineRule="exact"/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proofErr w:type="gramStart"/>
            <w:r>
              <w:rPr>
                <w:rFonts w:asciiTheme="minorHAnsi" w:eastAsiaTheme="minorEastAsia" w:hAnsiTheme="minorHAnsi" w:cstheme="minorBidi"/>
                <w:color w:val="000000" w:themeColor="text1"/>
              </w:rPr>
              <w:t>quantification</w:t>
            </w:r>
            <w:proofErr w:type="gramEnd"/>
            <w:r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des données si possible.</w:t>
            </w:r>
          </w:p>
          <w:p w14:paraId="4EB1985F" w14:textId="77777777" w:rsidR="002B588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05"/>
              </w:tabs>
              <w:spacing w:line="260" w:lineRule="exact"/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proofErr w:type="gramStart"/>
            <w:r>
              <w:rPr>
                <w:rFonts w:asciiTheme="minorHAnsi" w:eastAsiaTheme="minorEastAsia" w:hAnsiTheme="minorHAnsi" w:cstheme="minorBidi"/>
                <w:color w:val="000000" w:themeColor="text1"/>
              </w:rPr>
              <w:t>vocabulaire</w:t>
            </w:r>
            <w:proofErr w:type="gramEnd"/>
            <w:r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scientifique exact et précis.</w:t>
            </w:r>
          </w:p>
          <w:p w14:paraId="0E2F5A58" w14:textId="77777777" w:rsidR="002B588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05"/>
              </w:tabs>
              <w:spacing w:line="264" w:lineRule="exact"/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proofErr w:type="gramStart"/>
            <w: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>sans</w:t>
            </w:r>
            <w:proofErr w:type="gramEnd"/>
            <w: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 xml:space="preserve"> déformation ni erreur.</w:t>
            </w:r>
          </w:p>
        </w:tc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60" w:type="dxa"/>
              <w:right w:w="60" w:type="dxa"/>
            </w:tcMar>
          </w:tcPr>
          <w:p w14:paraId="49A98FAD" w14:textId="77777777" w:rsidR="002B588E" w:rsidRDefault="002B588E">
            <w:pPr>
              <w:widowControl w:val="0"/>
              <w:jc w:val="both"/>
              <w:rPr>
                <w:rFonts w:eastAsiaTheme="minorEastAsia"/>
                <w:color w:val="000000" w:themeColor="text1"/>
              </w:rPr>
            </w:pPr>
          </w:p>
        </w:tc>
      </w:tr>
      <w:tr w:rsidR="002B588E" w14:paraId="17C7676F" w14:textId="77777777">
        <w:trPr>
          <w:trHeight w:val="270"/>
        </w:trPr>
        <w:tc>
          <w:tcPr>
            <w:tcW w:w="85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60" w:type="dxa"/>
              <w:right w:w="60" w:type="dxa"/>
            </w:tcMar>
          </w:tcPr>
          <w:p w14:paraId="6E3033CC" w14:textId="77777777" w:rsidR="002B588E" w:rsidRDefault="00000000">
            <w:pPr>
              <w:pStyle w:val="TableParagraph"/>
              <w:spacing w:line="264" w:lineRule="exact"/>
              <w:ind w:left="85"/>
              <w:jc w:val="both"/>
              <w:rPr>
                <w:rFonts w:asciiTheme="minorHAnsi" w:eastAsiaTheme="minorEastAsia" w:hAnsiTheme="minorHAnsi" w:cstheme="minorBidi"/>
                <w:color w:val="000000" w:themeColor="text1"/>
              </w:rPr>
            </w:pPr>
            <w:r>
              <w:rPr>
                <w:rFonts w:asciiTheme="minorHAnsi" w:eastAsiaTheme="minorEastAsia" w:hAnsiTheme="minorHAnsi" w:cstheme="minorBidi"/>
                <w:color w:val="000000" w:themeColor="text1"/>
                <w:u w:val="single"/>
              </w:rPr>
              <w:t>CONFORMITÉ :</w:t>
            </w:r>
            <w:r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 J’ai </w:t>
            </w:r>
            <w: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 xml:space="preserve">structuré </w:t>
            </w:r>
            <w:r>
              <w:rPr>
                <w:rFonts w:asciiTheme="minorHAnsi" w:eastAsiaTheme="minorEastAsia" w:hAnsiTheme="minorHAnsi" w:cstheme="minorBidi"/>
                <w:color w:val="000000" w:themeColor="text1"/>
              </w:rPr>
              <w:t xml:space="preserve">mon écrit afin de faciliter sa lecture et sa compréhension et je maîtrise la </w:t>
            </w:r>
            <w:r>
              <w:rPr>
                <w:rFonts w:asciiTheme="minorHAnsi" w:eastAsiaTheme="minorEastAsia" w:hAnsiTheme="minorHAnsi" w:cstheme="minorBidi"/>
                <w:b/>
                <w:bCs/>
                <w:color w:val="000000" w:themeColor="text1"/>
              </w:rPr>
              <w:t xml:space="preserve">langue française </w:t>
            </w:r>
            <w:r>
              <w:rPr>
                <w:rFonts w:asciiTheme="minorHAnsi" w:eastAsiaTheme="minorEastAsia" w:hAnsiTheme="minorHAnsi" w:cstheme="minorBidi"/>
                <w:color w:val="000000" w:themeColor="text1"/>
              </w:rPr>
              <w:t>(orthographe, syntaxe, grammaire).</w:t>
            </w:r>
          </w:p>
        </w:tc>
        <w:tc>
          <w:tcPr>
            <w:tcW w:w="15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cMar>
              <w:left w:w="60" w:type="dxa"/>
              <w:right w:w="60" w:type="dxa"/>
            </w:tcMar>
          </w:tcPr>
          <w:p w14:paraId="4A401737" w14:textId="77777777" w:rsidR="002B588E" w:rsidRDefault="002B588E">
            <w:pPr>
              <w:widowControl w:val="0"/>
              <w:jc w:val="both"/>
              <w:rPr>
                <w:rFonts w:eastAsiaTheme="minorEastAsia"/>
                <w:color w:val="000000" w:themeColor="text1"/>
              </w:rPr>
            </w:pPr>
          </w:p>
        </w:tc>
      </w:tr>
    </w:tbl>
    <w:p w14:paraId="57D7C79E" w14:textId="77777777" w:rsidR="002B588E" w:rsidRDefault="002B588E">
      <w:pPr>
        <w:jc w:val="both"/>
        <w:rPr>
          <w:rFonts w:eastAsiaTheme="minorEastAsia"/>
          <w:color w:val="FF0000"/>
        </w:rPr>
      </w:pPr>
    </w:p>
    <w:p w14:paraId="0C11DE61" w14:textId="77777777" w:rsidR="002B588E" w:rsidRDefault="00000000">
      <w:pPr>
        <w:jc w:val="both"/>
        <w:rPr>
          <w:rFonts w:eastAsiaTheme="minorEastAsia"/>
          <w:color w:val="FF0000"/>
        </w:rPr>
      </w:pPr>
      <w:r>
        <w:rPr>
          <w:rFonts w:eastAsiaTheme="minorEastAsia"/>
          <w:b/>
          <w:bCs/>
          <w:color w:val="00B0F0"/>
        </w:rPr>
        <w:t>ANNEXES </w:t>
      </w:r>
      <w:r>
        <w:rPr>
          <w:rFonts w:eastAsiaTheme="minorEastAsia"/>
        </w:rPr>
        <w:t xml:space="preserve">: </w:t>
      </w:r>
    </w:p>
    <w:p w14:paraId="248CEAE2" w14:textId="77777777" w:rsidR="002B588E" w:rsidRDefault="00000000">
      <w:pPr>
        <w:jc w:val="both"/>
        <w:rPr>
          <w:rFonts w:eastAsiaTheme="minorEastAsia"/>
        </w:rPr>
      </w:pPr>
      <w:r>
        <w:rPr>
          <w:rFonts w:eastAsiaTheme="minorEastAsia"/>
        </w:rPr>
        <w:t>Proposition de correction :</w:t>
      </w:r>
    </w:p>
    <w:tbl>
      <w:tblPr>
        <w:tblStyle w:val="Grilledutableau"/>
        <w:tblW w:w="0" w:type="auto"/>
        <w:tblInd w:w="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3684"/>
        <w:gridCol w:w="2796"/>
        <w:gridCol w:w="3940"/>
      </w:tblGrid>
      <w:tr w:rsidR="002B588E" w14:paraId="536CBA52" w14:textId="77777777">
        <w:trPr>
          <w:trHeight w:val="300"/>
        </w:trPr>
        <w:tc>
          <w:tcPr>
            <w:tcW w:w="3750" w:type="dxa"/>
            <w:shd w:val="clear" w:color="auto" w:fill="DEEAF6" w:themeFill="accent5" w:themeFillTint="33"/>
            <w:tcMar>
              <w:left w:w="105" w:type="dxa"/>
              <w:right w:w="105" w:type="dxa"/>
            </w:tcMar>
            <w:vAlign w:val="center"/>
          </w:tcPr>
          <w:p w14:paraId="4D1BAA0E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  <w:color w:val="2F5496" w:themeColor="accent1" w:themeShade="BF"/>
              </w:rPr>
            </w:pPr>
            <w:r>
              <w:rPr>
                <w:rFonts w:eastAsiaTheme="minorEastAsia"/>
                <w:b/>
                <w:bCs/>
                <w:color w:val="2F5496" w:themeColor="accent1" w:themeShade="BF"/>
              </w:rPr>
              <w:t>Connaissance du fonctionnement des appareils reproducteurs</w:t>
            </w:r>
          </w:p>
        </w:tc>
        <w:tc>
          <w:tcPr>
            <w:tcW w:w="2835" w:type="dxa"/>
            <w:shd w:val="clear" w:color="auto" w:fill="DEEAF6" w:themeFill="accent5" w:themeFillTint="33"/>
            <w:tcMar>
              <w:left w:w="105" w:type="dxa"/>
              <w:right w:w="105" w:type="dxa"/>
            </w:tcMar>
            <w:vAlign w:val="center"/>
          </w:tcPr>
          <w:p w14:paraId="3957BFA4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  <w:color w:val="2F5496" w:themeColor="accent1" w:themeShade="BF"/>
              </w:rPr>
            </w:pPr>
            <w:r>
              <w:rPr>
                <w:rFonts w:eastAsiaTheme="minorEastAsia"/>
                <w:b/>
                <w:bCs/>
                <w:color w:val="2F5496" w:themeColor="accent1" w:themeShade="BF"/>
              </w:rPr>
              <w:t>Principe de contraception</w:t>
            </w:r>
          </w:p>
        </w:tc>
        <w:tc>
          <w:tcPr>
            <w:tcW w:w="4005" w:type="dxa"/>
            <w:shd w:val="clear" w:color="auto" w:fill="DEEAF6" w:themeFill="accent5" w:themeFillTint="33"/>
            <w:tcMar>
              <w:left w:w="105" w:type="dxa"/>
              <w:right w:w="105" w:type="dxa"/>
            </w:tcMar>
            <w:vAlign w:val="center"/>
          </w:tcPr>
          <w:p w14:paraId="765FC746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  <w:color w:val="2F5496" w:themeColor="accent1" w:themeShade="BF"/>
              </w:rPr>
            </w:pPr>
            <w:r>
              <w:rPr>
                <w:rFonts w:eastAsiaTheme="minorEastAsia"/>
                <w:b/>
                <w:bCs/>
                <w:color w:val="2F5496" w:themeColor="accent1" w:themeShade="BF"/>
              </w:rPr>
              <w:t>Exemples</w:t>
            </w:r>
          </w:p>
        </w:tc>
      </w:tr>
      <w:tr w:rsidR="002B588E" w14:paraId="241C997B" w14:textId="77777777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center"/>
          </w:tcPr>
          <w:p w14:paraId="0D34B93A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Procréer nécessite un ovule</w:t>
            </w:r>
          </w:p>
        </w:tc>
        <w:tc>
          <w:tcPr>
            <w:tcW w:w="2835" w:type="dxa"/>
            <w:tcMar>
              <w:left w:w="105" w:type="dxa"/>
              <w:right w:w="105" w:type="dxa"/>
            </w:tcMar>
            <w:vAlign w:val="center"/>
          </w:tcPr>
          <w:p w14:paraId="3AB2ACF4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Empêcher l’ovulation</w:t>
            </w:r>
          </w:p>
        </w:tc>
        <w:tc>
          <w:tcPr>
            <w:tcW w:w="4005" w:type="dxa"/>
            <w:tcMar>
              <w:left w:w="105" w:type="dxa"/>
              <w:right w:w="105" w:type="dxa"/>
            </w:tcMar>
            <w:vAlign w:val="center"/>
          </w:tcPr>
          <w:p w14:paraId="73A1E008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Méthode hormonale (ex : implant)</w:t>
            </w:r>
          </w:p>
        </w:tc>
      </w:tr>
      <w:tr w:rsidR="002B588E" w14:paraId="5FC5EEA9" w14:textId="77777777">
        <w:trPr>
          <w:trHeight w:val="255"/>
        </w:trPr>
        <w:tc>
          <w:tcPr>
            <w:tcW w:w="3750" w:type="dxa"/>
            <w:vMerge w:val="restart"/>
            <w:tcMar>
              <w:left w:w="105" w:type="dxa"/>
              <w:right w:w="105" w:type="dxa"/>
            </w:tcMar>
            <w:vAlign w:val="center"/>
          </w:tcPr>
          <w:p w14:paraId="7838BFD9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Procréer nécessite un spermatozoïde</w:t>
            </w:r>
          </w:p>
        </w:tc>
        <w:tc>
          <w:tcPr>
            <w:tcW w:w="2835" w:type="dxa"/>
            <w:tcMar>
              <w:left w:w="105" w:type="dxa"/>
              <w:right w:w="105" w:type="dxa"/>
            </w:tcMar>
            <w:vAlign w:val="center"/>
          </w:tcPr>
          <w:p w14:paraId="3424E291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Détruire les spermatozoïdes</w:t>
            </w:r>
          </w:p>
        </w:tc>
        <w:tc>
          <w:tcPr>
            <w:tcW w:w="4005" w:type="dxa"/>
            <w:tcMar>
              <w:left w:w="105" w:type="dxa"/>
              <w:right w:w="105" w:type="dxa"/>
            </w:tcMar>
            <w:vAlign w:val="center"/>
          </w:tcPr>
          <w:p w14:paraId="06149C89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Spermicide, stérilet au cuivre</w:t>
            </w:r>
          </w:p>
        </w:tc>
      </w:tr>
      <w:tr w:rsidR="002B588E" w14:paraId="7083BBA9" w14:textId="77777777">
        <w:trPr>
          <w:trHeight w:val="255"/>
        </w:trPr>
        <w:tc>
          <w:tcPr>
            <w:tcW w:w="3750" w:type="dxa"/>
            <w:vMerge/>
            <w:vAlign w:val="center"/>
          </w:tcPr>
          <w:p w14:paraId="4761C0C1" w14:textId="77777777" w:rsidR="002B588E" w:rsidRDefault="002B588E"/>
        </w:tc>
        <w:tc>
          <w:tcPr>
            <w:tcW w:w="2835" w:type="dxa"/>
            <w:tcMar>
              <w:left w:w="105" w:type="dxa"/>
              <w:right w:w="105" w:type="dxa"/>
            </w:tcMar>
            <w:vAlign w:val="center"/>
          </w:tcPr>
          <w:p w14:paraId="0C2C9385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Empêcher leur production</w:t>
            </w:r>
          </w:p>
        </w:tc>
        <w:tc>
          <w:tcPr>
            <w:tcW w:w="4005" w:type="dxa"/>
            <w:tcMar>
              <w:left w:w="105" w:type="dxa"/>
              <w:right w:w="105" w:type="dxa"/>
            </w:tcMar>
            <w:vAlign w:val="center"/>
          </w:tcPr>
          <w:p w14:paraId="2523FBE8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 xml:space="preserve">Slip chauffant </w:t>
            </w:r>
            <w:r>
              <w:rPr>
                <w:rFonts w:eastAsiaTheme="minorEastAsia"/>
                <w:i/>
                <w:iCs/>
                <w:color w:val="000000" w:themeColor="text1"/>
              </w:rPr>
              <w:t>(actualité : pilule YCT-529)</w:t>
            </w:r>
          </w:p>
        </w:tc>
      </w:tr>
      <w:tr w:rsidR="002B588E" w14:paraId="3EAE71C6" w14:textId="77777777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center"/>
          </w:tcPr>
          <w:p w14:paraId="08C32E12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Procréer nécessite la rencontre des 2 gamètes (fécondation)</w:t>
            </w:r>
          </w:p>
        </w:tc>
        <w:tc>
          <w:tcPr>
            <w:tcW w:w="2835" w:type="dxa"/>
            <w:tcMar>
              <w:left w:w="105" w:type="dxa"/>
              <w:right w:w="105" w:type="dxa"/>
            </w:tcMar>
            <w:vAlign w:val="center"/>
          </w:tcPr>
          <w:p w14:paraId="42CB1CC4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Empêcher la rencontre des gamètes</w:t>
            </w:r>
          </w:p>
        </w:tc>
        <w:tc>
          <w:tcPr>
            <w:tcW w:w="4005" w:type="dxa"/>
            <w:tcMar>
              <w:left w:w="105" w:type="dxa"/>
              <w:right w:w="105" w:type="dxa"/>
            </w:tcMar>
            <w:vAlign w:val="center"/>
          </w:tcPr>
          <w:p w14:paraId="051B55D6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Moyen mécanique (préservatifs, cape, diaphragme)</w:t>
            </w:r>
          </w:p>
          <w:p w14:paraId="04B8A2ED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 xml:space="preserve">Moyen hormonal </w:t>
            </w:r>
          </w:p>
          <w:p w14:paraId="3A4F09B5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  <w:color w:val="000000" w:themeColor="text1"/>
              </w:rPr>
            </w:pPr>
            <w:proofErr w:type="gramStart"/>
            <w:r>
              <w:rPr>
                <w:rFonts w:eastAsiaTheme="minorEastAsia"/>
                <w:color w:val="000000" w:themeColor="text1"/>
              </w:rPr>
              <w:t>à</w:t>
            </w:r>
            <w:proofErr w:type="gramEnd"/>
            <w:r>
              <w:rPr>
                <w:rFonts w:eastAsiaTheme="minorEastAsia"/>
                <w:color w:val="000000" w:themeColor="text1"/>
              </w:rPr>
              <w:t xml:space="preserve"> Épaissement de la glaire cervicale </w:t>
            </w:r>
          </w:p>
          <w:p w14:paraId="053433A8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(</w:t>
            </w:r>
            <w:proofErr w:type="gramStart"/>
            <w:r>
              <w:rPr>
                <w:rFonts w:eastAsiaTheme="minorEastAsia"/>
                <w:color w:val="000000" w:themeColor="text1"/>
              </w:rPr>
              <w:t>ex</w:t>
            </w:r>
            <w:proofErr w:type="gramEnd"/>
            <w:r>
              <w:rPr>
                <w:rFonts w:eastAsiaTheme="minorEastAsia"/>
                <w:color w:val="000000" w:themeColor="text1"/>
              </w:rPr>
              <w:t> : pilules microprogestatives)</w:t>
            </w:r>
          </w:p>
        </w:tc>
      </w:tr>
      <w:tr w:rsidR="002B588E" w14:paraId="65AF5F62" w14:textId="77777777">
        <w:trPr>
          <w:trHeight w:val="300"/>
        </w:trPr>
        <w:tc>
          <w:tcPr>
            <w:tcW w:w="3750" w:type="dxa"/>
            <w:tcMar>
              <w:left w:w="105" w:type="dxa"/>
              <w:right w:w="105" w:type="dxa"/>
            </w:tcMar>
            <w:vAlign w:val="center"/>
          </w:tcPr>
          <w:p w14:paraId="454F862E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Procréer nécessite la nidation de l’embryon dans l’endomètre</w:t>
            </w:r>
          </w:p>
        </w:tc>
        <w:tc>
          <w:tcPr>
            <w:tcW w:w="2835" w:type="dxa"/>
            <w:tcMar>
              <w:left w:w="105" w:type="dxa"/>
              <w:right w:w="105" w:type="dxa"/>
            </w:tcMar>
            <w:vAlign w:val="center"/>
          </w:tcPr>
          <w:p w14:paraId="16DB76F8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Rendre la muqueuse utérine impropre à l’implantation</w:t>
            </w:r>
          </w:p>
        </w:tc>
        <w:tc>
          <w:tcPr>
            <w:tcW w:w="4005" w:type="dxa"/>
            <w:tcMar>
              <w:left w:w="105" w:type="dxa"/>
              <w:right w:w="105" w:type="dxa"/>
            </w:tcMar>
            <w:vAlign w:val="center"/>
          </w:tcPr>
          <w:p w14:paraId="7C6FBCEA" w14:textId="77777777" w:rsidR="002B588E" w:rsidRDefault="00000000">
            <w:pPr>
              <w:spacing w:line="259" w:lineRule="auto"/>
              <w:contextualSpacing/>
              <w:jc w:val="both"/>
              <w:rPr>
                <w:rFonts w:eastAsiaTheme="minorEastAsia"/>
                <w:color w:val="000000" w:themeColor="text1"/>
              </w:rPr>
            </w:pPr>
            <w:r>
              <w:rPr>
                <w:rFonts w:eastAsiaTheme="minorEastAsia"/>
                <w:color w:val="000000" w:themeColor="text1"/>
              </w:rPr>
              <w:t>Hormones ou cuivre</w:t>
            </w:r>
          </w:p>
        </w:tc>
      </w:tr>
    </w:tbl>
    <w:p w14:paraId="13EB0E8B" w14:textId="77777777" w:rsidR="002B588E" w:rsidRDefault="002B588E">
      <w:pPr>
        <w:jc w:val="both"/>
        <w:rPr>
          <w:rFonts w:eastAsiaTheme="minorEastAsia"/>
        </w:rPr>
      </w:pPr>
    </w:p>
    <w:sectPr w:rsidR="002B588E">
      <w:pgSz w:w="11906" w:h="16838"/>
      <w:pgMar w:top="720" w:right="720" w:bottom="720" w:left="7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A8B9B" w14:textId="77777777" w:rsidR="00292FF5" w:rsidRDefault="00292FF5">
      <w:pPr>
        <w:spacing w:after="0" w:line="240" w:lineRule="auto"/>
      </w:pPr>
      <w:r>
        <w:separator/>
      </w:r>
    </w:p>
  </w:endnote>
  <w:endnote w:type="continuationSeparator" w:id="0">
    <w:p w14:paraId="2F359DE1" w14:textId="77777777" w:rsidR="00292FF5" w:rsidRDefault="00292F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EDA1F" w14:textId="77777777" w:rsidR="00292FF5" w:rsidRDefault="00292FF5">
      <w:pPr>
        <w:spacing w:after="0" w:line="240" w:lineRule="auto"/>
      </w:pPr>
      <w:r>
        <w:separator/>
      </w:r>
    </w:p>
  </w:footnote>
  <w:footnote w:type="continuationSeparator" w:id="0">
    <w:p w14:paraId="19CA983D" w14:textId="77777777" w:rsidR="00292FF5" w:rsidRDefault="00292F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A7047"/>
    <w:multiLevelType w:val="multilevel"/>
    <w:tmpl w:val="7A720B4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BD0166"/>
    <w:multiLevelType w:val="multilevel"/>
    <w:tmpl w:val="9CCE0B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53F11"/>
    <w:multiLevelType w:val="multilevel"/>
    <w:tmpl w:val="6D027DB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61B73"/>
    <w:multiLevelType w:val="multilevel"/>
    <w:tmpl w:val="723A9142"/>
    <w:lvl w:ilvl="0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ajorHAns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E0DC8"/>
    <w:multiLevelType w:val="multilevel"/>
    <w:tmpl w:val="4AE8FBA2"/>
    <w:lvl w:ilvl="0">
      <w:numFmt w:val="bullet"/>
      <w:lvlText w:val="-"/>
      <w:lvlJc w:val="left"/>
      <w:pPr>
        <w:ind w:left="805" w:hanging="360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8E39D9"/>
    <w:multiLevelType w:val="multilevel"/>
    <w:tmpl w:val="0ACA51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48347E"/>
    <w:multiLevelType w:val="multilevel"/>
    <w:tmpl w:val="7026D326"/>
    <w:lvl w:ilvl="0">
      <w:numFmt w:val="bullet"/>
      <w:lvlText w:val="-"/>
      <w:lvlJc w:val="left"/>
      <w:pPr>
        <w:ind w:left="805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sz w:val="22"/>
        <w:szCs w:val="22"/>
        <w:lang w:val="fr-FR" w:eastAsia="en-US" w:bidi="ar-SA"/>
      </w:rPr>
    </w:lvl>
    <w:lvl w:ilvl="1">
      <w:numFmt w:val="bullet"/>
      <w:lvlText w:val="•"/>
      <w:lvlJc w:val="left"/>
      <w:pPr>
        <w:ind w:left="1688" w:hanging="360"/>
      </w:pPr>
      <w:rPr>
        <w:rFonts w:hint="default"/>
        <w:lang w:val="fr-FR" w:eastAsia="en-US" w:bidi="ar-SA"/>
      </w:rPr>
    </w:lvl>
    <w:lvl w:ilvl="2">
      <w:numFmt w:val="bullet"/>
      <w:lvlText w:val="•"/>
      <w:lvlJc w:val="left"/>
      <w:pPr>
        <w:ind w:left="2577" w:hanging="360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65" w:hanging="360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54" w:hanging="360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43" w:hanging="360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31" w:hanging="360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20" w:hanging="360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908" w:hanging="360"/>
      </w:pPr>
      <w:rPr>
        <w:rFonts w:hint="default"/>
        <w:lang w:val="fr-FR" w:eastAsia="en-US" w:bidi="ar-SA"/>
      </w:rPr>
    </w:lvl>
  </w:abstractNum>
  <w:num w:numId="1" w16cid:durableId="400641105">
    <w:abstractNumId w:val="4"/>
  </w:num>
  <w:num w:numId="2" w16cid:durableId="622002338">
    <w:abstractNumId w:val="2"/>
  </w:num>
  <w:num w:numId="3" w16cid:durableId="1100488539">
    <w:abstractNumId w:val="1"/>
  </w:num>
  <w:num w:numId="4" w16cid:durableId="403332599">
    <w:abstractNumId w:val="5"/>
  </w:num>
  <w:num w:numId="5" w16cid:durableId="2108844555">
    <w:abstractNumId w:val="6"/>
  </w:num>
  <w:num w:numId="6" w16cid:durableId="1022126628">
    <w:abstractNumId w:val="3"/>
  </w:num>
  <w:num w:numId="7" w16cid:durableId="1756710695">
    <w:abstractNumId w:val="0"/>
  </w:num>
  <w:num w:numId="8" w16cid:durableId="98396983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88E"/>
    <w:rsid w:val="00292FF5"/>
    <w:rsid w:val="002B588E"/>
    <w:rsid w:val="008C55EF"/>
    <w:rsid w:val="00FA3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715EE5"/>
  <w15:docId w15:val="{4A0BDAB9-A2CA-4A73-963A-CAD532EF4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GridLight">
    <w:name w:val="Table Grid Light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Tableausimple2">
    <w:name w:val="Plain Table 2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4">
    <w:name w:val="Plain Table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simple5">
    <w:name w:val="Plain Table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3">
    <w:name w:val="Grid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4">
    <w:name w:val="Grid Table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TableauGrille5Fonc">
    <w:name w:val="Grid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TableauGrille6Couleur">
    <w:name w:val="Grid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TableauListe2">
    <w:name w:val="List Table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3">
    <w:name w:val="List Table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TableauListe5Fonc">
    <w:name w:val="List Table 5 Dark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TableauListe6Couleur">
    <w:name w:val="List Table 6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pPr>
      <w:spacing w:after="0" w:line="240" w:lineRule="auto"/>
    </w:pPr>
    <w:rPr>
      <w:color w:val="404040"/>
      <w:sz w:val="20"/>
      <w:szCs w:val="20"/>
      <w:lang w:eastAsia="fr-FR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Titre1Car">
    <w:name w:val="Titre 1 Car"/>
    <w:basedOn w:val="Policepardfaut"/>
    <w:link w:val="Titre1"/>
    <w:uiPriority w:val="9"/>
    <w:rPr>
      <w:rFonts w:ascii="Arial" w:eastAsia="Arial" w:hAnsi="Arial" w:cs="Arial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Pr>
      <w:rFonts w:ascii="Arial" w:eastAsia="Arial" w:hAnsi="Arial" w:cs="Arial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Pr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Pr>
      <w:i/>
      <w:iCs/>
      <w:color w:val="404040" w:themeColor="text1" w:themeTint="BF"/>
    </w:rPr>
  </w:style>
  <w:style w:type="character" w:styleId="Accentuationintense">
    <w:name w:val="Intense Emphasis"/>
    <w:basedOn w:val="Policepardfaut"/>
    <w:uiPriority w:val="21"/>
    <w:qFormat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Pr>
      <w:b/>
      <w:bCs/>
      <w:smallCaps/>
      <w:color w:val="2F5496" w:themeColor="accent1" w:themeShade="BF"/>
      <w:spacing w:val="5"/>
    </w:rPr>
  </w:style>
  <w:style w:type="character" w:styleId="Accentuationlgre">
    <w:name w:val="Subtle Emphasis"/>
    <w:basedOn w:val="Policepardfaut"/>
    <w:uiPriority w:val="19"/>
    <w:qFormat/>
    <w:rPr>
      <w:i/>
      <w:iCs/>
      <w:color w:val="404040" w:themeColor="text1" w:themeTint="BF"/>
    </w:rPr>
  </w:style>
  <w:style w:type="character" w:styleId="Accentuation">
    <w:name w:val="Emphasis"/>
    <w:basedOn w:val="Policepardfaut"/>
    <w:uiPriority w:val="20"/>
    <w:qFormat/>
    <w:rPr>
      <w:i/>
      <w:iCs/>
    </w:rPr>
  </w:style>
  <w:style w:type="character" w:styleId="lev">
    <w:name w:val="Strong"/>
    <w:basedOn w:val="Policepardfaut"/>
    <w:uiPriority w:val="22"/>
    <w:qFormat/>
    <w:rPr>
      <w:b/>
      <w:bCs/>
    </w:rPr>
  </w:style>
  <w:style w:type="character" w:styleId="Rfrencelgre">
    <w:name w:val="Subtle Reference"/>
    <w:basedOn w:val="Policepardfaut"/>
    <w:uiPriority w:val="31"/>
    <w:qFormat/>
    <w:rPr>
      <w:smallCaps/>
      <w:color w:val="5A5A5A" w:themeColor="text1" w:themeTint="A5"/>
    </w:rPr>
  </w:style>
  <w:style w:type="character" w:styleId="Titredulivre">
    <w:name w:val="Book Title"/>
    <w:basedOn w:val="Policepardfaut"/>
    <w:uiPriority w:val="33"/>
    <w:qFormat/>
    <w:rPr>
      <w:b/>
      <w:bCs/>
      <w:i/>
      <w:iCs/>
      <w:spacing w:val="5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Lgende">
    <w:name w:val="caption"/>
    <w:basedOn w:val="Normal"/>
    <w:next w:val="Normal"/>
    <w:uiPriority w:val="35"/>
    <w:unhideWhenUsed/>
    <w:qFormat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Pr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Pr>
      <w:vertAlign w:val="superscript"/>
    </w:rPr>
  </w:style>
  <w:style w:type="character" w:styleId="Lienhypertextesuivivisit">
    <w:name w:val="FollowedHyperlink"/>
    <w:basedOn w:val="Policepardfaut"/>
    <w:uiPriority w:val="99"/>
    <w:semiHidden/>
    <w:unhideWhenUsed/>
    <w:rPr>
      <w:color w:val="954F72" w:themeColor="followedHyperlink"/>
      <w:u w:val="single"/>
    </w:rPr>
  </w:style>
  <w:style w:type="paragraph" w:styleId="TM1">
    <w:name w:val="toc 1"/>
    <w:basedOn w:val="Normal"/>
    <w:next w:val="Normal"/>
    <w:uiPriority w:val="39"/>
    <w:unhideWhenUsed/>
    <w:pPr>
      <w:spacing w:after="100"/>
    </w:pPr>
  </w:style>
  <w:style w:type="paragraph" w:styleId="TM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M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M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M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M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M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M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M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Textedelespacerserv">
    <w:name w:val="Placeholder Text"/>
    <w:basedOn w:val="Policepardfaut"/>
    <w:uiPriority w:val="99"/>
    <w:semiHidden/>
    <w:rPr>
      <w:color w:val="666666"/>
    </w:rPr>
  </w:style>
  <w:style w:type="paragraph" w:styleId="En-ttedetabledesmatires">
    <w:name w:val="TOC Heading"/>
    <w:uiPriority w:val="39"/>
    <w:unhideWhenUsed/>
  </w:style>
  <w:style w:type="paragraph" w:styleId="Tabledesillustrations">
    <w:name w:val="table of figures"/>
    <w:basedOn w:val="Normal"/>
    <w:next w:val="Normal"/>
    <w:uiPriority w:val="99"/>
    <w:unhideWhenUsed/>
    <w:pPr>
      <w:spacing w:after="0"/>
    </w:pPr>
  </w:style>
  <w:style w:type="paragraph" w:styleId="Paragraphedeliste">
    <w:name w:val="List Paragraph"/>
    <w:basedOn w:val="Normal"/>
    <w:uiPriority w:val="34"/>
    <w:qFormat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Pr>
      <w:color w:val="605E5C"/>
      <w:shd w:val="clear" w:color="auto" w:fill="E1DFDD"/>
    </w:rPr>
  </w:style>
  <w:style w:type="paragraph" w:styleId="Sansinterligne">
    <w:name w:val="No Spacing"/>
    <w:uiPriority w:val="1"/>
    <w:qFormat/>
    <w:pPr>
      <w:spacing w:after="0" w:line="240" w:lineRule="auto"/>
    </w:pPr>
  </w:style>
  <w:style w:type="paragraph" w:customStyle="1" w:styleId="TableParagraph">
    <w:name w:val="Table Paragraph"/>
    <w:basedOn w:val="Normal"/>
    <w:uiPriority w:val="1"/>
    <w:qFormat/>
    <w:pPr>
      <w:widowControl w:val="0"/>
      <w:spacing w:after="0" w:line="240" w:lineRule="auto"/>
    </w:pPr>
    <w:rPr>
      <w:rFonts w:ascii="Calibri" w:eastAsia="Calibri" w:hAnsi="Calibri" w:cs="Calibri"/>
    </w:rPr>
  </w:style>
  <w:style w:type="table" w:styleId="Grilledutableau">
    <w:name w:val="Table Grid"/>
    <w:basedOn w:val="TableauNorma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50.png"/><Relationship Id="rId26" Type="http://schemas.openxmlformats.org/officeDocument/2006/relationships/image" Target="media/image9.png"/><Relationship Id="rId3" Type="http://schemas.openxmlformats.org/officeDocument/2006/relationships/settings" Target="settings.xml"/><Relationship Id="rId21" Type="http://schemas.openxmlformats.org/officeDocument/2006/relationships/image" Target="media/image60.png"/><Relationship Id="rId7" Type="http://schemas.openxmlformats.org/officeDocument/2006/relationships/image" Target="media/image1.png"/><Relationship Id="rId12" Type="http://schemas.openxmlformats.org/officeDocument/2006/relationships/image" Target="media/image20.png"/><Relationship Id="rId17" Type="http://schemas.openxmlformats.org/officeDocument/2006/relationships/image" Target="media/image5.png"/><Relationship Id="rId25" Type="http://schemas.openxmlformats.org/officeDocument/2006/relationships/image" Target="media/image80.png"/><Relationship Id="rId2" Type="http://schemas.openxmlformats.org/officeDocument/2006/relationships/styles" Target="styles.xml"/><Relationship Id="rId16" Type="http://schemas.openxmlformats.org/officeDocument/2006/relationships/image" Target="media/image40.png"/><Relationship Id="rId20" Type="http://schemas.openxmlformats.org/officeDocument/2006/relationships/image" Target="media/image6.png"/><Relationship Id="rId29" Type="http://schemas.openxmlformats.org/officeDocument/2006/relationships/image" Target="media/image10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image" Target="media/image8.png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image" Target="media/image70.png"/><Relationship Id="rId28" Type="http://schemas.openxmlformats.org/officeDocument/2006/relationships/image" Target="media/image10.png"/><Relationship Id="rId10" Type="http://schemas.openxmlformats.org/officeDocument/2006/relationships/hyperlink" Target="https://svt07.wordpress.com/wp-content/uploads/2016/05/fc3a9condation-bilan.jpg" TargetMode="External"/><Relationship Id="rId19" Type="http://schemas.openxmlformats.org/officeDocument/2006/relationships/hyperlink" Target="https://my.clevelandclinic.org/" TargetMode="External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11.png"/><Relationship Id="rId14" Type="http://schemas.openxmlformats.org/officeDocument/2006/relationships/image" Target="media/image30.png"/><Relationship Id="rId22" Type="http://schemas.openxmlformats.org/officeDocument/2006/relationships/image" Target="media/image7.png"/><Relationship Id="rId27" Type="http://schemas.openxmlformats.org/officeDocument/2006/relationships/image" Target="media/image9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679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Manuella Van-Praet</dc:creator>
  <cp:lastModifiedBy>Manuella Van-Praet</cp:lastModifiedBy>
  <cp:revision>3</cp:revision>
  <cp:lastPrinted>2026-07-10T15:17:00Z</cp:lastPrinted>
  <dcterms:created xsi:type="dcterms:W3CDTF">2026-07-10T15:16:00Z</dcterms:created>
  <dcterms:modified xsi:type="dcterms:W3CDTF">2026-07-10T15:17:00Z</dcterms:modified>
</cp:coreProperties>
</file>