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ADE2C" w14:textId="77777777" w:rsidR="00094C38" w:rsidRDefault="003213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Détermination de l’âge moyen de la puberté </w:t>
      </w:r>
      <w:r>
        <w:rPr>
          <w:b/>
          <w:color w:val="00B0F0"/>
        </w:rPr>
        <w:t xml:space="preserve">: </w:t>
      </w:r>
    </w:p>
    <w:p w14:paraId="075ADE2D" w14:textId="77777777" w:rsidR="00094C38" w:rsidRDefault="0032130C">
      <w:r>
        <w:rPr>
          <w:b/>
          <w:color w:val="00B0F0"/>
        </w:rPr>
        <w:t>Niveau de classe ou cycle</w:t>
      </w:r>
      <w:r>
        <w:rPr>
          <w:color w:val="00B0F0"/>
        </w:rPr>
        <w:t> </w:t>
      </w:r>
      <w:r>
        <w:t>: Seconde</w:t>
      </w:r>
    </w:p>
    <w:p w14:paraId="075ADE2E" w14:textId="77777777" w:rsidR="00094C38" w:rsidRDefault="0032130C">
      <w:pPr>
        <w:rPr>
          <w:rFonts w:ascii="Calibri" w:eastAsia="Times New Roman" w:hAnsi="Calibri" w:cs="Calibri"/>
          <w:color w:val="000000"/>
          <w:lang w:eastAsia="fr-FR"/>
        </w:rPr>
      </w:pPr>
      <w:r>
        <w:rPr>
          <w:b/>
          <w:color w:val="00B0F0"/>
        </w:rPr>
        <w:t>Notion du BO travaillée</w:t>
      </w:r>
      <w:r>
        <w:rPr>
          <w:color w:val="00B0F0"/>
        </w:rPr>
        <w:t> </w:t>
      </w:r>
      <w:r>
        <w:t>: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  <w:lang w:eastAsia="fr-FR"/>
        </w:rPr>
        <w:t>Corps humain : de la fécondation à la puberté La mise en place de l’organisation et de la fonctionnalité des appareils sexuels se réalise sur une longue période qui va de la fécondation à la puberté.</w:t>
      </w:r>
    </w:p>
    <w:p w14:paraId="075ADE2F" w14:textId="626DCA0C" w:rsidR="00094C38" w:rsidRDefault="0032130C">
      <w:pPr>
        <w:rPr>
          <w:rFonts w:ascii="Calibri" w:eastAsia="Times New Roman" w:hAnsi="Calibri" w:cs="Calibri"/>
          <w:color w:val="000000"/>
          <w:lang w:eastAsia="fr-FR"/>
        </w:rPr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 xml:space="preserve">: </w:t>
      </w:r>
      <w:r>
        <w:rPr>
          <w:rFonts w:ascii="Calibri" w:eastAsia="Times New Roman" w:hAnsi="Calibri" w:cs="Calibri"/>
          <w:color w:val="000000"/>
          <w:lang w:eastAsia="fr-FR"/>
        </w:rPr>
        <w:t>Présenter des résultats</w:t>
      </w:r>
      <w:r w:rsidR="00AC2FCF">
        <w:rPr>
          <w:rFonts w:ascii="Calibri" w:eastAsia="Times New Roman" w:hAnsi="Calibri" w:cs="Calibri"/>
          <w:color w:val="000000"/>
          <w:lang w:eastAsia="fr-FR"/>
        </w:rPr>
        <w:t xml:space="preserve"> sous la forme d’un graphique</w:t>
      </w:r>
    </w:p>
    <w:p w14:paraId="6AC38223" w14:textId="12FFE2EC" w:rsidR="005F4ABA" w:rsidRDefault="005F4ABA">
      <w:pPr>
        <w:rPr>
          <w:rFonts w:ascii="Calibri" w:eastAsia="Times New Roman" w:hAnsi="Calibri" w:cs="Calibri"/>
          <w:color w:val="000000"/>
          <w:lang w:eastAsia="fr-FR"/>
        </w:rPr>
      </w:pPr>
      <w:r w:rsidRPr="005F4ABA">
        <w:rPr>
          <w:rFonts w:ascii="Calibri" w:eastAsia="Times New Roman" w:hAnsi="Calibri" w:cs="Calibri"/>
          <w:b/>
          <w:bCs/>
          <w:color w:val="00B0F0"/>
          <w:lang w:eastAsia="fr-FR"/>
        </w:rPr>
        <w:t>Contexte de l’activité</w:t>
      </w:r>
      <w:r w:rsidRPr="005F4ABA">
        <w:rPr>
          <w:rFonts w:ascii="Calibri" w:eastAsia="Times New Roman" w:hAnsi="Calibri" w:cs="Calibri"/>
          <w:color w:val="00B0F0"/>
          <w:lang w:eastAsia="fr-FR"/>
        </w:rPr>
        <w:t xml:space="preserve"> </w:t>
      </w:r>
      <w:r w:rsidRPr="005F4ABA">
        <w:rPr>
          <w:rFonts w:ascii="Calibri" w:eastAsia="Times New Roman" w:hAnsi="Calibri" w:cs="Calibri"/>
          <w:color w:val="000000"/>
          <w:lang w:eastAsia="fr-FR"/>
        </w:rPr>
        <w:t>: Cette activité constitue une activité de remédiation fournie à la classe ou certains à élèves en fonction de leur besoin</w:t>
      </w:r>
    </w:p>
    <w:p w14:paraId="075ADE31" w14:textId="2D58E5D6" w:rsidR="00094C38" w:rsidRDefault="0032130C">
      <w:r>
        <w:rPr>
          <w:b/>
          <w:color w:val="00B0F0"/>
        </w:rPr>
        <w:t xml:space="preserve">Contenu de l’activité (dont </w:t>
      </w:r>
      <w:r>
        <w:rPr>
          <w:b/>
          <w:color w:val="00B0F0"/>
          <w:u w:val="single"/>
        </w:rPr>
        <w:t>consigne unique</w:t>
      </w:r>
      <w:r>
        <w:rPr>
          <w:b/>
          <w:color w:val="00B0F0"/>
        </w:rPr>
        <w:t xml:space="preserve">, </w:t>
      </w:r>
      <w:r>
        <w:rPr>
          <w:b/>
          <w:color w:val="00B0F0"/>
          <w:u w:val="single"/>
        </w:rPr>
        <w:t>documents nécessaires</w:t>
      </w:r>
      <w:r>
        <w:rPr>
          <w:b/>
          <w:color w:val="00B0F0"/>
        </w:rPr>
        <w:t xml:space="preserve">, </w:t>
      </w:r>
      <w:proofErr w:type="gramStart"/>
      <w:r>
        <w:rPr>
          <w:b/>
          <w:i/>
          <w:color w:val="00B0F0"/>
        </w:rPr>
        <w:t>etc</w:t>
      </w:r>
      <w:r>
        <w:rPr>
          <w:b/>
          <w:color w:val="00B0F0"/>
        </w:rPr>
        <w:t>. )</w:t>
      </w:r>
      <w:proofErr w:type="gramEnd"/>
      <w:r>
        <w:rPr>
          <w:color w:val="00B0F0"/>
        </w:rPr>
        <w:t> </w:t>
      </w:r>
      <w:r>
        <w:t>:</w:t>
      </w:r>
    </w:p>
    <w:p w14:paraId="65664678" w14:textId="1FC9BF3C" w:rsidR="00D000A3" w:rsidRPr="00D000A3" w:rsidRDefault="00D000A3" w:rsidP="00D000A3">
      <w:r w:rsidRPr="00D000A3">
        <w:t>La détermination du sexe biologique d’un individu s’effectue progressivement au cours d</w:t>
      </w:r>
      <w:r w:rsidR="00E318AF">
        <w:t>e son</w:t>
      </w:r>
      <w:r w:rsidRPr="00D000A3">
        <w:t xml:space="preserve"> développement. L’un des moments clés de ce processus est la puberté, période durant laquelle apparaissent les caractères sexuels secondaires sous l’action des hormones sexuelles.</w:t>
      </w:r>
    </w:p>
    <w:p w14:paraId="7EE3C0E1" w14:textId="77777777" w:rsidR="00CD4031" w:rsidRPr="00CD4031" w:rsidRDefault="00CD4031" w:rsidP="00CD4031">
      <w:r w:rsidRPr="00CD4031">
        <w:t>Afin de comprendre le lien entre les variations hormonales et les transformations observées à la puberté, des mesures de concentrations sanguines d’hormones sexuelles ont été réalisées chez des jeunes filles et des jeunes garçons âgés de 6 à 18 ans.</w:t>
      </w:r>
    </w:p>
    <w:p w14:paraId="075ADE34" w14:textId="337C2562" w:rsidR="00094C38" w:rsidRPr="00AC2FCF" w:rsidRDefault="00AC2FCF">
      <w:r w:rsidRPr="00AC2FCF">
        <w:t xml:space="preserve">Consigne : </w:t>
      </w:r>
      <w:r w:rsidR="00CD4031" w:rsidRPr="00AC2FCF">
        <w:t>À partir des</w:t>
      </w:r>
      <w:r w:rsidR="00CF606E" w:rsidRPr="00AC2FCF">
        <w:t xml:space="preserve"> données</w:t>
      </w:r>
      <w:r w:rsidR="00CD4031" w:rsidRPr="00AC2FCF">
        <w:t xml:space="preserve"> fourni</w:t>
      </w:r>
      <w:r w:rsidR="00CF606E" w:rsidRPr="00AC2FCF">
        <w:t>e</w:t>
      </w:r>
      <w:r w:rsidR="000C61E9" w:rsidRPr="00AC2FCF">
        <w:t>s</w:t>
      </w:r>
      <w:r w:rsidR="00CD4031" w:rsidRPr="00AC2FCF">
        <w:t>,</w:t>
      </w:r>
      <w:r>
        <w:t xml:space="preserve"> Présenter les résultats ci-dessous </w:t>
      </w:r>
      <w:r w:rsidRPr="00AC2FCF">
        <w:t>de l’évolution des concentrations hormonales en fonction de l’âge chez une fille et chez un garçon</w:t>
      </w:r>
      <w:r>
        <w:t xml:space="preserve"> sous la forme d’un</w:t>
      </w:r>
      <w:r w:rsidR="000C61E9" w:rsidRPr="00AC2FCF">
        <w:t xml:space="preserve"> </w:t>
      </w:r>
      <w:r w:rsidR="00CD4031" w:rsidRPr="00AC2FCF">
        <w:t>graphique</w:t>
      </w:r>
      <w:r w:rsidR="009D22CC" w:rsidRPr="00AC2FCF">
        <w:t xml:space="preserve"> </w:t>
      </w:r>
      <w:r w:rsidR="00976DFC" w:rsidRPr="00AC2FCF">
        <w:t>afin de mettre en évidence le rôle des hormones sexuelles dans l’apparition des caractères sexuels secondaires à la puberté.</w:t>
      </w:r>
    </w:p>
    <w:p w14:paraId="075ADE35" w14:textId="77777777" w:rsidR="00094C38" w:rsidRDefault="0032130C">
      <w:pPr>
        <w:jc w:val="center"/>
        <w:rPr>
          <w:u w:val="single"/>
        </w:rPr>
      </w:pPr>
      <w:r>
        <w:rPr>
          <w:u w:val="single"/>
        </w:rPr>
        <w:t>Tableau des mesures de concentration sanguine en testostérone et œstradiol entre 6 et 18 ans.</w:t>
      </w:r>
    </w:p>
    <w:p w14:paraId="075ADE36" w14:textId="77777777" w:rsidR="00094C38" w:rsidRDefault="00094C38">
      <w:pPr>
        <w:jc w:val="center"/>
        <w:rPr>
          <w:u w:val="single"/>
        </w:rPr>
      </w:pPr>
    </w:p>
    <w:tbl>
      <w:tblPr>
        <w:tblStyle w:val="Grilledutableau"/>
        <w:tblW w:w="1000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3"/>
        <w:gridCol w:w="4060"/>
      </w:tblGrid>
      <w:tr w:rsidR="00094C38" w14:paraId="075ADE3A" w14:textId="77777777">
        <w:trPr>
          <w:trHeight w:val="629"/>
          <w:jc w:val="center"/>
        </w:trPr>
        <w:tc>
          <w:tcPr>
            <w:tcW w:w="1555" w:type="dxa"/>
            <w:vAlign w:val="center"/>
          </w:tcPr>
          <w:p w14:paraId="075ADE37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Age en années</w:t>
            </w:r>
          </w:p>
        </w:tc>
        <w:tc>
          <w:tcPr>
            <w:tcW w:w="4393" w:type="dxa"/>
            <w:vAlign w:val="center"/>
          </w:tcPr>
          <w:p w14:paraId="075ADE38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Concentration sanguine en œstradiol (en </w:t>
            </w:r>
            <w:proofErr w:type="spellStart"/>
            <w:r>
              <w:rPr>
                <w:rFonts w:eastAsia="Calibri"/>
              </w:rPr>
              <w:t>ng</w:t>
            </w:r>
            <w:proofErr w:type="spellEnd"/>
            <w:r>
              <w:rPr>
                <w:rFonts w:eastAsia="Calibri"/>
              </w:rPr>
              <w:t>/100ml) chez une fille</w:t>
            </w:r>
          </w:p>
        </w:tc>
        <w:tc>
          <w:tcPr>
            <w:tcW w:w="4060" w:type="dxa"/>
            <w:vAlign w:val="center"/>
          </w:tcPr>
          <w:p w14:paraId="075ADE39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Concentration sanguine en testostérone (en </w:t>
            </w:r>
            <w:proofErr w:type="spellStart"/>
            <w:r>
              <w:rPr>
                <w:rFonts w:eastAsia="Calibri"/>
              </w:rPr>
              <w:t>ng</w:t>
            </w:r>
            <w:proofErr w:type="spellEnd"/>
            <w:r>
              <w:rPr>
                <w:rFonts w:eastAsia="Calibri"/>
              </w:rPr>
              <w:t>/100ml) chez un garçon</w:t>
            </w:r>
          </w:p>
        </w:tc>
      </w:tr>
      <w:tr w:rsidR="00094C38" w14:paraId="075ADE3E" w14:textId="77777777">
        <w:trPr>
          <w:trHeight w:val="196"/>
          <w:jc w:val="center"/>
        </w:trPr>
        <w:tc>
          <w:tcPr>
            <w:tcW w:w="1555" w:type="dxa"/>
            <w:vAlign w:val="center"/>
          </w:tcPr>
          <w:p w14:paraId="075ADE3B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393" w:type="dxa"/>
            <w:vAlign w:val="center"/>
          </w:tcPr>
          <w:p w14:paraId="075ADE3C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1,2</w:t>
            </w:r>
          </w:p>
        </w:tc>
        <w:tc>
          <w:tcPr>
            <w:tcW w:w="4060" w:type="dxa"/>
            <w:vAlign w:val="center"/>
          </w:tcPr>
          <w:p w14:paraId="075ADE3D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094C38" w14:paraId="075ADE42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3F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393" w:type="dxa"/>
            <w:vAlign w:val="center"/>
          </w:tcPr>
          <w:p w14:paraId="075ADE40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1,2</w:t>
            </w:r>
          </w:p>
        </w:tc>
        <w:tc>
          <w:tcPr>
            <w:tcW w:w="4060" w:type="dxa"/>
            <w:vAlign w:val="center"/>
          </w:tcPr>
          <w:p w14:paraId="075ADE41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094C38" w14:paraId="075ADE46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43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4393" w:type="dxa"/>
            <w:vAlign w:val="center"/>
          </w:tcPr>
          <w:p w14:paraId="075ADE44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1,8</w:t>
            </w:r>
          </w:p>
        </w:tc>
        <w:tc>
          <w:tcPr>
            <w:tcW w:w="4060" w:type="dxa"/>
            <w:vAlign w:val="center"/>
          </w:tcPr>
          <w:p w14:paraId="075ADE45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094C38" w14:paraId="075ADE4A" w14:textId="77777777">
        <w:trPr>
          <w:trHeight w:val="196"/>
          <w:jc w:val="center"/>
        </w:trPr>
        <w:tc>
          <w:tcPr>
            <w:tcW w:w="1555" w:type="dxa"/>
            <w:vAlign w:val="center"/>
          </w:tcPr>
          <w:p w14:paraId="075ADE47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393" w:type="dxa"/>
            <w:vAlign w:val="center"/>
          </w:tcPr>
          <w:p w14:paraId="075ADE48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2,2</w:t>
            </w:r>
          </w:p>
        </w:tc>
        <w:tc>
          <w:tcPr>
            <w:tcW w:w="4060" w:type="dxa"/>
            <w:vAlign w:val="center"/>
          </w:tcPr>
          <w:p w14:paraId="075ADE49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094C38" w14:paraId="075ADE4E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4B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393" w:type="dxa"/>
            <w:vAlign w:val="center"/>
          </w:tcPr>
          <w:p w14:paraId="075ADE4C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3,6</w:t>
            </w:r>
          </w:p>
        </w:tc>
        <w:tc>
          <w:tcPr>
            <w:tcW w:w="4060" w:type="dxa"/>
            <w:vAlign w:val="center"/>
          </w:tcPr>
          <w:p w14:paraId="075ADE4D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094C38" w14:paraId="075ADE52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4F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393" w:type="dxa"/>
            <w:vAlign w:val="center"/>
          </w:tcPr>
          <w:p w14:paraId="075ADE50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060" w:type="dxa"/>
            <w:vAlign w:val="center"/>
          </w:tcPr>
          <w:p w14:paraId="075ADE51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</w:t>
            </w:r>
          </w:p>
        </w:tc>
      </w:tr>
      <w:tr w:rsidR="00094C38" w14:paraId="075ADE56" w14:textId="77777777">
        <w:trPr>
          <w:trHeight w:val="196"/>
          <w:jc w:val="center"/>
        </w:trPr>
        <w:tc>
          <w:tcPr>
            <w:tcW w:w="1555" w:type="dxa"/>
            <w:vAlign w:val="center"/>
          </w:tcPr>
          <w:p w14:paraId="075ADE53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4393" w:type="dxa"/>
            <w:vAlign w:val="center"/>
          </w:tcPr>
          <w:p w14:paraId="075ADE54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060" w:type="dxa"/>
            <w:vAlign w:val="center"/>
          </w:tcPr>
          <w:p w14:paraId="075ADE55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094C38" w14:paraId="075ADE5A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57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4393" w:type="dxa"/>
            <w:vAlign w:val="center"/>
          </w:tcPr>
          <w:p w14:paraId="075ADE58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60" w:type="dxa"/>
            <w:vAlign w:val="center"/>
          </w:tcPr>
          <w:p w14:paraId="075ADE59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250</w:t>
            </w:r>
          </w:p>
        </w:tc>
      </w:tr>
      <w:tr w:rsidR="00094C38" w14:paraId="075ADE5E" w14:textId="77777777">
        <w:trPr>
          <w:trHeight w:val="196"/>
          <w:jc w:val="center"/>
        </w:trPr>
        <w:tc>
          <w:tcPr>
            <w:tcW w:w="1555" w:type="dxa"/>
            <w:vAlign w:val="center"/>
          </w:tcPr>
          <w:p w14:paraId="075ADE5B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4393" w:type="dxa"/>
            <w:vAlign w:val="center"/>
          </w:tcPr>
          <w:p w14:paraId="075ADE5C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60" w:type="dxa"/>
            <w:vAlign w:val="center"/>
          </w:tcPr>
          <w:p w14:paraId="075ADE5D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380</w:t>
            </w:r>
          </w:p>
        </w:tc>
      </w:tr>
      <w:tr w:rsidR="00094C38" w14:paraId="075ADE62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5F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4393" w:type="dxa"/>
            <w:vAlign w:val="center"/>
          </w:tcPr>
          <w:p w14:paraId="075ADE60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60" w:type="dxa"/>
            <w:vAlign w:val="center"/>
          </w:tcPr>
          <w:p w14:paraId="075ADE61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420</w:t>
            </w:r>
          </w:p>
        </w:tc>
      </w:tr>
      <w:tr w:rsidR="00094C38" w14:paraId="075ADE66" w14:textId="77777777">
        <w:trPr>
          <w:trHeight w:val="209"/>
          <w:jc w:val="center"/>
        </w:trPr>
        <w:tc>
          <w:tcPr>
            <w:tcW w:w="1555" w:type="dxa"/>
            <w:vAlign w:val="center"/>
          </w:tcPr>
          <w:p w14:paraId="075ADE63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4393" w:type="dxa"/>
            <w:vAlign w:val="center"/>
          </w:tcPr>
          <w:p w14:paraId="075ADE64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60" w:type="dxa"/>
            <w:vAlign w:val="center"/>
          </w:tcPr>
          <w:p w14:paraId="075ADE65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480</w:t>
            </w:r>
          </w:p>
        </w:tc>
      </w:tr>
      <w:tr w:rsidR="00094C38" w14:paraId="075ADE6A" w14:textId="77777777">
        <w:trPr>
          <w:trHeight w:val="196"/>
          <w:jc w:val="center"/>
        </w:trPr>
        <w:tc>
          <w:tcPr>
            <w:tcW w:w="1555" w:type="dxa"/>
            <w:vAlign w:val="center"/>
          </w:tcPr>
          <w:p w14:paraId="075ADE67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4393" w:type="dxa"/>
            <w:vAlign w:val="center"/>
          </w:tcPr>
          <w:p w14:paraId="075ADE68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60" w:type="dxa"/>
            <w:vAlign w:val="center"/>
          </w:tcPr>
          <w:p w14:paraId="075ADE69" w14:textId="77777777" w:rsidR="00094C38" w:rsidRDefault="0032130C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490</w:t>
            </w:r>
          </w:p>
        </w:tc>
      </w:tr>
    </w:tbl>
    <w:p w14:paraId="075ADE6B" w14:textId="77777777" w:rsidR="00094C38" w:rsidRDefault="00094C38"/>
    <w:p w14:paraId="075ADE6C" w14:textId="77777777" w:rsidR="00094C38" w:rsidRDefault="00094C38"/>
    <w:p w14:paraId="075ADE6D" w14:textId="77777777" w:rsidR="00094C38" w:rsidRDefault="00094C38"/>
    <w:p w14:paraId="075ADE6E" w14:textId="77777777" w:rsidR="00094C38" w:rsidRDefault="00094C38"/>
    <w:p w14:paraId="075ADE6F" w14:textId="77777777" w:rsidR="00094C38" w:rsidRDefault="00094C38"/>
    <w:p w14:paraId="075ADE70" w14:textId="77777777" w:rsidR="00094C38" w:rsidRDefault="00094C38"/>
    <w:p w14:paraId="075ADE71" w14:textId="77777777" w:rsidR="00094C38" w:rsidRDefault="00094C38"/>
    <w:p w14:paraId="075ADE72" w14:textId="77777777" w:rsidR="00094C38" w:rsidRDefault="00094C38"/>
    <w:p w14:paraId="075ADE73" w14:textId="77777777" w:rsidR="00094C38" w:rsidRDefault="00094C38"/>
    <w:p w14:paraId="075ADE74" w14:textId="77777777" w:rsidR="00094C38" w:rsidRDefault="00094C38"/>
    <w:p w14:paraId="075ADE75" w14:textId="77777777" w:rsidR="00094C38" w:rsidRDefault="00094C38"/>
    <w:p w14:paraId="075ADE76" w14:textId="77777777" w:rsidR="00094C38" w:rsidRDefault="00094C38"/>
    <w:p w14:paraId="075ADE85" w14:textId="77777777" w:rsidR="00094C38" w:rsidRDefault="00094C38">
      <w:pPr>
        <w:rPr>
          <w:b/>
          <w:color w:val="00B0F0"/>
        </w:rPr>
      </w:pPr>
    </w:p>
    <w:p w14:paraId="075ADE86" w14:textId="3B6A9C7E" w:rsidR="00094C38" w:rsidRDefault="0032130C">
      <w:r>
        <w:rPr>
          <w:b/>
          <w:color w:val="00B0F0"/>
        </w:rPr>
        <w:t>Critères de réussite de la compétence travaillée</w:t>
      </w:r>
      <w:r w:rsidR="00AC2FCF">
        <w:rPr>
          <w:b/>
          <w:color w:val="00B0F0"/>
        </w:rPr>
        <w:t xml:space="preserve"> : </w:t>
      </w:r>
      <w:r w:rsidR="00AC2FCF" w:rsidRPr="00AC2FCF">
        <w:rPr>
          <w:b/>
          <w:color w:val="000000" w:themeColor="text1"/>
        </w:rPr>
        <w:t>Présenter les résultats sous la forme d’un graphique</w:t>
      </w: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094C38" w14:paraId="075ADE8A" w14:textId="77777777">
        <w:trPr>
          <w:trHeight w:val="392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075ADE87" w14:textId="77777777" w:rsidR="00094C38" w:rsidRDefault="0032130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075ADE88" w14:textId="77777777" w:rsidR="00094C38" w:rsidRDefault="0032130C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075ADE89" w14:textId="77777777" w:rsidR="00094C38" w:rsidRDefault="0032130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094C38" w14:paraId="075ADE8D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8B" w14:textId="77777777" w:rsidR="00094C38" w:rsidRDefault="0032130C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>: Mon graphique représente les résultats obtenus / observés</w:t>
            </w:r>
            <w:r>
              <w:rPr>
                <w:rFonts w:cstheme="minorHAnsi"/>
                <w:kern w:val="2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8C" w14:textId="77777777" w:rsidR="00094C38" w:rsidRDefault="00094C38">
            <w:pPr>
              <w:jc w:val="center"/>
              <w:rPr>
                <w:rFonts w:cstheme="minorHAnsi"/>
              </w:rPr>
            </w:pPr>
          </w:p>
        </w:tc>
      </w:tr>
      <w:tr w:rsidR="00094C38" w14:paraId="075ADE90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8E" w14:textId="77777777" w:rsidR="00094C38" w:rsidRDefault="0032130C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J’ai représenté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l'ensemble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des résultats</w:t>
            </w:r>
            <w:r>
              <w:rPr>
                <w:rFonts w:cstheme="minorHAnsi"/>
                <w:kern w:val="2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8F" w14:textId="77777777" w:rsidR="00094C38" w:rsidRDefault="00094C38">
            <w:pPr>
              <w:jc w:val="center"/>
              <w:rPr>
                <w:rFonts w:cstheme="minorHAnsi"/>
              </w:rPr>
            </w:pPr>
          </w:p>
        </w:tc>
      </w:tr>
      <w:tr w:rsidR="00094C38" w14:paraId="075ADE93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91" w14:textId="77777777" w:rsidR="00094C38" w:rsidRDefault="0032130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EXACTITUDE </w:t>
            </w:r>
            <w:r>
              <w:rPr>
                <w:rFonts w:cstheme="minorHAnsi"/>
              </w:rPr>
              <w:t xml:space="preserve">: Les axes sont judicieusement </w:t>
            </w:r>
            <w:r>
              <w:rPr>
                <w:rFonts w:cstheme="minorHAnsi"/>
                <w:b/>
              </w:rPr>
              <w:t>orientés</w:t>
            </w:r>
            <w:r>
              <w:rPr>
                <w:rFonts w:cstheme="minorHAnsi"/>
              </w:rPr>
              <w:t xml:space="preserve">. Les </w:t>
            </w:r>
            <w:r>
              <w:rPr>
                <w:rFonts w:cstheme="minorHAnsi"/>
                <w:b/>
              </w:rPr>
              <w:t>points</w:t>
            </w:r>
            <w:r>
              <w:rPr>
                <w:rFonts w:cstheme="minorHAnsi"/>
              </w:rPr>
              <w:t xml:space="preserve"> sont </w:t>
            </w:r>
            <w:r>
              <w:rPr>
                <w:rFonts w:cstheme="minorHAnsi"/>
                <w:b/>
              </w:rPr>
              <w:t>correctement placés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92" w14:textId="77777777" w:rsidR="00094C38" w:rsidRDefault="00094C38">
            <w:pPr>
              <w:jc w:val="center"/>
              <w:rPr>
                <w:rFonts w:cstheme="minorHAnsi"/>
              </w:rPr>
            </w:pPr>
          </w:p>
        </w:tc>
      </w:tr>
      <w:tr w:rsidR="00094C38" w14:paraId="075ADE9B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94" w14:textId="77777777" w:rsidR="00094C38" w:rsidRDefault="0032130C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graphique est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soigné</w:t>
            </w:r>
            <w:r>
              <w:rPr>
                <w:rFonts w:cstheme="minorHAnsi"/>
                <w:kern w:val="2"/>
                <w14:ligatures w14:val="standardContextual"/>
              </w:rPr>
              <w:t xml:space="preserve"> et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lisible.</w:t>
            </w:r>
            <w:r>
              <w:rPr>
                <w:rFonts w:cstheme="minorHAnsi"/>
                <w:kern w:val="2"/>
                <w14:ligatures w14:val="standardContextual"/>
              </w:rPr>
              <w:t xml:space="preserve"> Les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règles de communication sont respectées</w:t>
            </w:r>
            <w:r>
              <w:rPr>
                <w:rFonts w:cstheme="minorHAnsi"/>
                <w:kern w:val="2"/>
                <w14:ligatures w14:val="standardContextual"/>
              </w:rPr>
              <w:t xml:space="preserve"> : </w:t>
            </w:r>
          </w:p>
          <w:p w14:paraId="075ADE95" w14:textId="77777777" w:rsidR="00094C38" w:rsidRDefault="0032130C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les axes sont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perpendiculaires</w:t>
            </w:r>
            <w:r>
              <w:rPr>
                <w:rFonts w:cstheme="minorHAnsi"/>
                <w:kern w:val="2"/>
                <w14:ligatures w14:val="standardContextual"/>
              </w:rPr>
              <w:t>,</w:t>
            </w:r>
          </w:p>
          <w:p w14:paraId="075ADE96" w14:textId="77777777" w:rsidR="00094C38" w:rsidRDefault="0032130C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les axes sont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gradués</w:t>
            </w:r>
            <w:r>
              <w:rPr>
                <w:rFonts w:cstheme="minorHAnsi"/>
                <w:kern w:val="2"/>
                <w14:ligatures w14:val="standardContextual"/>
              </w:rPr>
              <w:t>,</w:t>
            </w:r>
          </w:p>
          <w:p w14:paraId="075ADE97" w14:textId="77777777" w:rsidR="00094C38" w:rsidRDefault="0032130C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- l’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échelle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choisie est pertinente,</w:t>
            </w:r>
          </w:p>
          <w:p w14:paraId="075ADE98" w14:textId="77777777" w:rsidR="00094C38" w:rsidRDefault="0032130C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une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 xml:space="preserve">grandeur </w:t>
            </w:r>
            <w:r>
              <w:rPr>
                <w:rFonts w:cstheme="minorHAnsi"/>
                <w:kern w:val="2"/>
                <w14:ligatures w14:val="standardContextual"/>
              </w:rPr>
              <w:t xml:space="preserve">et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une unité</w:t>
            </w:r>
            <w:r>
              <w:rPr>
                <w:rFonts w:cstheme="minorHAnsi"/>
                <w:kern w:val="2"/>
                <w14:ligatures w14:val="standardContextual"/>
              </w:rPr>
              <w:t xml:space="preserve"> sont attribuées aux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axes,</w:t>
            </w:r>
          </w:p>
          <w:p w14:paraId="075ADE99" w14:textId="77777777" w:rsidR="00094C38" w:rsidRDefault="0032130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titre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judicieusement choisi.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E9A" w14:textId="77777777" w:rsidR="00094C38" w:rsidRDefault="00094C38">
            <w:pPr>
              <w:jc w:val="center"/>
              <w:rPr>
                <w:rFonts w:cstheme="minorHAnsi"/>
              </w:rPr>
            </w:pPr>
          </w:p>
        </w:tc>
      </w:tr>
    </w:tbl>
    <w:p w14:paraId="075ADE9C" w14:textId="77777777" w:rsidR="00094C38" w:rsidRDefault="00094C38"/>
    <w:sectPr w:rsidR="00094C38">
      <w:pgSz w:w="11906" w:h="16838"/>
      <w:pgMar w:top="284" w:right="284" w:bottom="284" w:left="2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38"/>
    <w:rsid w:val="00062E12"/>
    <w:rsid w:val="00094C38"/>
    <w:rsid w:val="000C61E9"/>
    <w:rsid w:val="000F06E9"/>
    <w:rsid w:val="00136BD4"/>
    <w:rsid w:val="00280AB5"/>
    <w:rsid w:val="002E2F28"/>
    <w:rsid w:val="00311D69"/>
    <w:rsid w:val="0032130C"/>
    <w:rsid w:val="00336E0A"/>
    <w:rsid w:val="003A0D82"/>
    <w:rsid w:val="004B71A8"/>
    <w:rsid w:val="005F170E"/>
    <w:rsid w:val="005F2492"/>
    <w:rsid w:val="005F4ABA"/>
    <w:rsid w:val="006176CC"/>
    <w:rsid w:val="006D7B5D"/>
    <w:rsid w:val="0085781E"/>
    <w:rsid w:val="00915275"/>
    <w:rsid w:val="00976DFC"/>
    <w:rsid w:val="009D22CC"/>
    <w:rsid w:val="00AA4F29"/>
    <w:rsid w:val="00AC2FCF"/>
    <w:rsid w:val="00C03929"/>
    <w:rsid w:val="00CD4031"/>
    <w:rsid w:val="00CF606E"/>
    <w:rsid w:val="00D000A3"/>
    <w:rsid w:val="00D42BD4"/>
    <w:rsid w:val="00E318AF"/>
    <w:rsid w:val="00F42E25"/>
    <w:rsid w:val="00F9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DE2C"/>
  <w15:docId w15:val="{802C0819-4B4C-49F5-8533-99F819D2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C31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dc:description/>
  <cp:lastModifiedBy>Manuella Van-Praet</cp:lastModifiedBy>
  <cp:revision>10</cp:revision>
  <dcterms:created xsi:type="dcterms:W3CDTF">2026-05-19T16:29:00Z</dcterms:created>
  <dcterms:modified xsi:type="dcterms:W3CDTF">2026-07-13T08:33:00Z</dcterms:modified>
  <dc:language>fr-FR</dc:language>
</cp:coreProperties>
</file>