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952F" w14:textId="77777777" w:rsidR="00CB26A6" w:rsidRDefault="00000000">
      <w:pPr>
        <w:spacing w:after="0"/>
        <w:jc w:val="center"/>
        <w:rPr>
          <w:rFonts w:asciiTheme="minorHAnsi" w:eastAsia="Arial" w:hAnsiTheme="minorHAnsi" w:cstheme="minorHAnsi"/>
          <w:b/>
          <w:bCs/>
          <w:sz w:val="32"/>
        </w:rPr>
      </w:pPr>
      <w:bookmarkStart w:id="0" w:name="_Hlk227490240"/>
      <w:r>
        <w:rPr>
          <w:rFonts w:asciiTheme="minorHAnsi" w:eastAsia="Arial" w:hAnsiTheme="minorHAnsi" w:cstheme="minorHAnsi"/>
          <w:b/>
          <w:bCs/>
          <w:sz w:val="32"/>
        </w:rPr>
        <w:t xml:space="preserve">Communication intraspécifique et sélection sexuelle : </w:t>
      </w:r>
    </w:p>
    <w:p w14:paraId="52882083" w14:textId="77777777" w:rsidR="00CB26A6" w:rsidRDefault="00000000">
      <w:pPr>
        <w:jc w:val="center"/>
        <w:rPr>
          <w:rFonts w:asciiTheme="minorHAnsi" w:eastAsia="Arial" w:hAnsiTheme="minorHAnsi" w:cstheme="minorHAnsi"/>
          <w:b/>
          <w:bCs/>
          <w:sz w:val="32"/>
        </w:rPr>
      </w:pPr>
      <w:r>
        <w:rPr>
          <w:rFonts w:asciiTheme="minorHAnsi" w:eastAsia="Arial" w:hAnsiTheme="minorHAnsi" w:cstheme="minorHAnsi"/>
          <w:b/>
          <w:bCs/>
          <w:sz w:val="32"/>
        </w:rPr>
        <w:t xml:space="preserve">le chant des grenouilles </w:t>
      </w:r>
      <w:r>
        <w:rPr>
          <w:rFonts w:asciiTheme="minorHAnsi" w:eastAsia="Arial" w:hAnsiTheme="minorHAnsi" w:cstheme="minorHAnsi"/>
          <w:b/>
          <w:bCs/>
          <w:i/>
          <w:sz w:val="32"/>
        </w:rPr>
        <w:t>Hyla</w:t>
      </w:r>
      <w:r>
        <w:rPr>
          <w:rFonts w:asciiTheme="minorHAnsi" w:eastAsia="Arial" w:hAnsiTheme="minorHAnsi" w:cstheme="minorHAnsi"/>
          <w:b/>
          <w:bCs/>
          <w:sz w:val="32"/>
        </w:rPr>
        <w:t xml:space="preserve"> (2)</w:t>
      </w:r>
    </w:p>
    <w:p w14:paraId="4B5425C5" w14:textId="77777777" w:rsidR="00CB26A6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Niveau de classe ou cycle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>: Seconde</w:t>
      </w:r>
    </w:p>
    <w:p w14:paraId="7639CAC8" w14:textId="77777777" w:rsidR="00CB26A6" w:rsidRDefault="00000000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Notion du BO travaillée</w:t>
      </w:r>
      <w:r>
        <w:rPr>
          <w:rFonts w:asciiTheme="minorHAnsi" w:eastAsia="Arial" w:hAnsiTheme="minorHAnsi" w:cstheme="minorHAnsi"/>
          <w:color w:val="00B0F0"/>
        </w:rPr>
        <w:t> :</w:t>
      </w:r>
      <w:r>
        <w:rPr>
          <w:rFonts w:asciiTheme="minorHAnsi" w:eastAsia="Arial" w:hAnsiTheme="minorHAnsi" w:cstheme="minorHAnsi"/>
        </w:rPr>
        <w:t xml:space="preserve"> « La Terre, la vie et l’organisation du vivant » &gt;&gt; « Communication intra-spécifique et sélection sexuelle » : </w:t>
      </w:r>
    </w:p>
    <w:p w14:paraId="22256128" w14:textId="77777777" w:rsidR="00CB26A6" w:rsidRDefault="00000000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Des difficultés dans la réception du signal peuvent générer sur le long terme un isolement reproducteur entre organismes de la même espèce et être à l’origine d’un événement de spéciation.</w:t>
      </w:r>
    </w:p>
    <w:p w14:paraId="0F0CF0CF" w14:textId="77777777" w:rsidR="00CB26A6" w:rsidRDefault="00000000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i/>
        </w:rPr>
        <w:t xml:space="preserve">Notions fondamentales : </w:t>
      </w:r>
      <w:r>
        <w:t>communication, émetteur, récepteur, comportement.</w:t>
      </w:r>
    </w:p>
    <w:p w14:paraId="7E7EEE4B" w14:textId="77777777" w:rsidR="00CB26A6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Compétence travaillée dans l’activité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>: Interpréter des résultats et en tirer des conclusions</w:t>
      </w:r>
    </w:p>
    <w:p w14:paraId="66889CD1" w14:textId="77777777" w:rsidR="00CB26A6" w:rsidRDefault="00000000">
      <w:pPr>
        <w:jc w:val="both"/>
        <w:rPr>
          <w:rFonts w:asciiTheme="minorHAnsi" w:eastAsiaTheme="minorHAnsi" w:hAnsiTheme="minorHAnsi" w:cstheme="minorBidi"/>
          <w:lang w:val="fr-FR" w:eastAsia="en-US"/>
        </w:rPr>
      </w:pPr>
      <w:r>
        <w:rPr>
          <w:rFonts w:asciiTheme="minorHAnsi" w:eastAsiaTheme="minorHAnsi" w:hAnsiTheme="minorHAnsi" w:cstheme="minorBidi"/>
          <w:b/>
          <w:color w:val="00B0F0"/>
          <w:lang w:val="fr-FR" w:eastAsia="en-US"/>
        </w:rPr>
        <w:t>Contexte de l’activité</w:t>
      </w:r>
      <w:r>
        <w:rPr>
          <w:rFonts w:asciiTheme="minorHAnsi" w:eastAsiaTheme="minorHAnsi" w:hAnsiTheme="minorHAnsi" w:cstheme="minorBidi"/>
          <w:color w:val="00B0F0"/>
          <w:lang w:val="fr-FR" w:eastAsia="en-US"/>
        </w:rPr>
        <w:t> </w:t>
      </w:r>
      <w:r>
        <w:rPr>
          <w:rFonts w:asciiTheme="minorHAnsi" w:eastAsiaTheme="minorHAnsi" w:hAnsiTheme="minorHAnsi" w:cstheme="minorBidi"/>
          <w:lang w:val="fr-FR" w:eastAsia="en-US"/>
        </w:rPr>
        <w:t xml:space="preserve">: Cette activité peut s’intégrer dans une séquence pour co-construire les notions visées. Elle peut faire suite </w:t>
      </w:r>
      <w:r>
        <w:t>au rappel en groupe classe (en phase dialoguée avec la classe) des</w:t>
      </w:r>
      <w:r>
        <w:rPr>
          <w:rFonts w:asciiTheme="minorHAnsi" w:eastAsiaTheme="minorHAnsi" w:hAnsiTheme="minorHAnsi" w:cstheme="minorBidi"/>
          <w:lang w:val="fr-FR" w:eastAsia="en-US"/>
        </w:rPr>
        <w:t xml:space="preserve"> différentes modalités de communication interindividuelle en lien avec les fonctions biologiques assurées.</w:t>
      </w:r>
    </w:p>
    <w:p w14:paraId="21F4FB95" w14:textId="77777777" w:rsidR="00CB26A6" w:rsidRDefault="00000000">
      <w:pPr>
        <w:jc w:val="both"/>
        <w:rPr>
          <w:rFonts w:asciiTheme="minorHAnsi" w:eastAsiaTheme="minorHAnsi" w:hAnsiTheme="minorHAnsi" w:cstheme="minorBidi"/>
          <w:lang w:val="fr-FR" w:eastAsia="en-US"/>
        </w:rPr>
      </w:pPr>
      <w:r>
        <w:rPr>
          <w:rFonts w:asciiTheme="minorHAnsi" w:eastAsiaTheme="minorHAnsi" w:hAnsiTheme="minorHAnsi" w:cstheme="minorBidi"/>
          <w:lang w:val="fr-FR" w:eastAsia="en-US"/>
        </w:rPr>
        <w:t>Puis à l’activité ciblant la compétence présenter les résultats sous la forme d’un tableau » (cf. Banque )</w:t>
      </w:r>
    </w:p>
    <w:p w14:paraId="4E644E0F" w14:textId="77777777" w:rsidR="00CB26A6" w:rsidRDefault="00000000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  <w:color w:val="00B0F0"/>
        </w:rPr>
        <w:t>Contenu de l’activité</w:t>
      </w:r>
      <w:r>
        <w:rPr>
          <w:rFonts w:asciiTheme="minorHAnsi" w:eastAsia="Arial" w:hAnsiTheme="minorHAnsi" w:cstheme="minorHAnsi"/>
          <w:color w:val="00B0F0"/>
        </w:rPr>
        <w:t> </w:t>
      </w:r>
      <w:r>
        <w:rPr>
          <w:rFonts w:asciiTheme="minorHAnsi" w:eastAsia="Arial" w:hAnsiTheme="minorHAnsi" w:cstheme="minorHAnsi"/>
        </w:rPr>
        <w:t>:</w:t>
      </w:r>
    </w:p>
    <w:p w14:paraId="79136180" w14:textId="77777777" w:rsidR="00CB26A6" w:rsidRDefault="00000000">
      <w:pPr>
        <w:jc w:val="both"/>
        <w:rPr>
          <w:rFonts w:asciiTheme="minorHAnsi" w:eastAsia="Arial" w:hAnsiTheme="minorHAnsi" w:cstheme="minorHAnsi"/>
          <w:strike/>
          <w:color w:val="000000"/>
        </w:rPr>
      </w:pPr>
      <w:r>
        <w:rPr>
          <w:rFonts w:asciiTheme="minorHAnsi" w:eastAsia="Arial" w:hAnsiTheme="minorHAnsi" w:cstheme="minorHAnsi"/>
          <w:iCs/>
          <w:color w:val="000000"/>
          <w:u w:val="single"/>
        </w:rPr>
        <w:t>Introduction</w:t>
      </w:r>
      <w:r>
        <w:rPr>
          <w:rFonts w:asciiTheme="minorHAnsi" w:eastAsia="Arial" w:hAnsiTheme="minorHAnsi" w:cstheme="minorHAnsi"/>
          <w:iCs/>
          <w:color w:val="000000"/>
        </w:rPr>
        <w:t> :</w:t>
      </w:r>
      <w:r>
        <w:rPr>
          <w:rFonts w:asciiTheme="minorHAnsi" w:eastAsia="Arial" w:hAnsiTheme="minorHAnsi" w:cstheme="minorHAnsi"/>
          <w:i/>
          <w:iCs/>
          <w:color w:val="000000"/>
        </w:rPr>
        <w:t xml:space="preserve"> </w:t>
      </w:r>
      <w:r>
        <w:rPr>
          <w:rFonts w:asciiTheme="minorHAnsi" w:eastAsia="Arial" w:hAnsiTheme="minorHAnsi" w:cstheme="minorHAnsi"/>
          <w:iCs/>
          <w:color w:val="000000"/>
        </w:rPr>
        <w:t>Les grenouilles</w:t>
      </w:r>
      <w:r>
        <w:rPr>
          <w:rFonts w:asciiTheme="minorHAnsi" w:eastAsia="Arial" w:hAnsiTheme="minorHAnsi" w:cstheme="minorHAnsi"/>
          <w:i/>
          <w:iCs/>
          <w:color w:val="000000"/>
        </w:rPr>
        <w:t xml:space="preserve"> Hyla versicolor</w:t>
      </w:r>
      <w:r>
        <w:rPr>
          <w:rFonts w:asciiTheme="minorHAnsi" w:eastAsia="Arial" w:hAnsiTheme="minorHAnsi" w:cstheme="minorHAnsi"/>
          <w:color w:val="000000"/>
        </w:rPr>
        <w:t xml:space="preserve"> et </w:t>
      </w:r>
      <w:r>
        <w:rPr>
          <w:rFonts w:asciiTheme="minorHAnsi" w:eastAsia="Arial" w:hAnsiTheme="minorHAnsi" w:cstheme="minorHAnsi"/>
          <w:i/>
          <w:iCs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 sont deux rainettes vivant en Amérique du Nord, dans les mêmes zones géographiques et se reproduisent toutes les deux entre avril et juillet. </w:t>
      </w:r>
    </w:p>
    <w:p w14:paraId="77905359" w14:textId="77777777" w:rsidR="00CB26A6" w:rsidRDefault="00000000">
      <w:pPr>
        <w:rPr>
          <w:rFonts w:asciiTheme="minorHAnsi" w:eastAsia="Arial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u w:val="singl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EE11013" wp14:editId="0B327C00">
                <wp:simplePos x="0" y="0"/>
                <wp:positionH relativeFrom="margin">
                  <wp:posOffset>312420</wp:posOffset>
                </wp:positionH>
                <wp:positionV relativeFrom="paragraph">
                  <wp:posOffset>3175</wp:posOffset>
                </wp:positionV>
                <wp:extent cx="5039995" cy="1725295"/>
                <wp:effectExtent l="0" t="0" r="8255" b="8255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2781929" name="image1.png"/>
                        <pic:cNvPic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039994" cy="17252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84864;o:allowoverlap:true;o:allowincell:true;mso-position-horizontal-relative:margin;margin-left:24.60pt;mso-position-horizontal:absolute;mso-position-vertical-relative:text;margin-top:0.25pt;mso-position-vertical:absolute;width:396.85pt;height:135.85pt;mso-wrap-distance-left:9.00pt;mso-wrap-distance-top:0.00pt;mso-wrap-distance-right:9.00pt;mso-wrap-distance-bottom:0.00pt;z-index:1;">
                <w10:wrap type="square"/>
                <v:imagedata r:id="rId10" o:title=""/>
                <o:lock v:ext="edit" rotation="t"/>
              </v:shape>
            </w:pict>
          </mc:Fallback>
        </mc:AlternateContent>
      </w:r>
    </w:p>
    <w:p w14:paraId="76DA743D" w14:textId="77777777" w:rsidR="00CB26A6" w:rsidRDefault="00CB26A6">
      <w:pPr>
        <w:rPr>
          <w:rFonts w:asciiTheme="minorHAnsi" w:eastAsia="Arial" w:hAnsiTheme="minorHAnsi" w:cstheme="minorHAnsi"/>
        </w:rPr>
      </w:pPr>
    </w:p>
    <w:p w14:paraId="35AA528E" w14:textId="77777777" w:rsidR="00CB26A6" w:rsidRDefault="00CB26A6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622DD7F1" w14:textId="77777777" w:rsidR="00CB26A6" w:rsidRDefault="00CB26A6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13C227E6" w14:textId="77777777" w:rsidR="00CB26A6" w:rsidRDefault="00CB26A6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1A8152E3" w14:textId="77777777" w:rsidR="00CB26A6" w:rsidRDefault="00CB26A6">
      <w:pPr>
        <w:rPr>
          <w:rFonts w:asciiTheme="minorHAnsi" w:eastAsia="Arial" w:hAnsiTheme="minorHAnsi" w:cstheme="minorHAnsi"/>
          <w:bCs/>
          <w:i/>
          <w:color w:val="000000"/>
        </w:rPr>
      </w:pPr>
    </w:p>
    <w:p w14:paraId="6E558802" w14:textId="77777777" w:rsidR="00CB26A6" w:rsidRDefault="00000000">
      <w:pPr>
        <w:spacing w:after="0"/>
        <w:jc w:val="right"/>
        <w:rPr>
          <w:rFonts w:asciiTheme="minorHAnsi" w:eastAsia="Arial" w:hAnsiTheme="minorHAnsi" w:cstheme="minorHAnsi"/>
          <w:bCs/>
          <w:i/>
          <w:color w:val="000000"/>
        </w:rPr>
      </w:pPr>
      <w:r>
        <w:rPr>
          <w:rFonts w:asciiTheme="minorHAnsi" w:eastAsia="Arial" w:hAnsiTheme="minorHAnsi" w:cstheme="minorHAnsi"/>
          <w:i/>
          <w:iCs/>
          <w:color w:val="000000"/>
        </w:rPr>
        <w:t xml:space="preserve">©Patrick Coin                                                                                       </w:t>
      </w:r>
    </w:p>
    <w:p w14:paraId="624FA1BF" w14:textId="77777777" w:rsidR="00CB26A6" w:rsidRDefault="00000000">
      <w:pPr>
        <w:spacing w:after="0"/>
        <w:jc w:val="right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i/>
          <w:iCs/>
          <w:color w:val="000000"/>
        </w:rPr>
        <w:t>©LA Dawson</w:t>
      </w:r>
    </w:p>
    <w:p w14:paraId="23FD0151" w14:textId="77777777" w:rsidR="00CB26A6" w:rsidRDefault="00CB26A6">
      <w:pPr>
        <w:spacing w:after="0"/>
        <w:jc w:val="right"/>
        <w:rPr>
          <w:rFonts w:asciiTheme="minorHAnsi" w:eastAsia="Arial" w:hAnsiTheme="minorHAnsi" w:cstheme="minorHAnsi"/>
          <w:bCs/>
          <w:i/>
          <w:color w:val="000000"/>
        </w:rPr>
      </w:pPr>
    </w:p>
    <w:bookmarkEnd w:id="0"/>
    <w:p w14:paraId="4B1A88CE" w14:textId="77777777" w:rsidR="00711A79" w:rsidRDefault="00711A79">
      <w:pPr>
        <w:jc w:val="both"/>
        <w:rPr>
          <w:rFonts w:asciiTheme="minorHAnsi" w:eastAsia="Arial" w:hAnsiTheme="minorHAnsi" w:cstheme="minorHAnsi"/>
          <w:bCs/>
          <w:color w:val="000000"/>
        </w:rPr>
      </w:pPr>
      <w:r w:rsidRPr="00711A79">
        <w:rPr>
          <w:rFonts w:asciiTheme="minorHAnsi" w:eastAsia="Arial" w:hAnsiTheme="minorHAnsi" w:cstheme="minorHAnsi"/>
          <w:bCs/>
          <w:color w:val="000000"/>
        </w:rPr>
        <w:t xml:space="preserve">On cherche à déterminer si les grenouilles </w:t>
      </w:r>
      <w:r w:rsidRPr="00711A79">
        <w:rPr>
          <w:rFonts w:asciiTheme="minorHAnsi" w:eastAsia="Arial" w:hAnsiTheme="minorHAnsi" w:cstheme="minorHAnsi"/>
          <w:bCs/>
          <w:i/>
          <w:iCs/>
          <w:color w:val="000000"/>
        </w:rPr>
        <w:t>Hyla versicolor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 et </w:t>
      </w:r>
      <w:r w:rsidRPr="00711A79">
        <w:rPr>
          <w:rFonts w:asciiTheme="minorHAnsi" w:eastAsia="Arial" w:hAnsiTheme="minorHAnsi" w:cstheme="minorHAnsi"/>
          <w:bCs/>
          <w:i/>
          <w:iCs/>
          <w:color w:val="000000"/>
        </w:rPr>
        <w:t>Hyla chrysoscelis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 app</w:t>
      </w:r>
      <w:r>
        <w:rPr>
          <w:rFonts w:asciiTheme="minorHAnsi" w:eastAsia="Arial" w:hAnsiTheme="minorHAnsi" w:cstheme="minorHAnsi"/>
          <w:bCs/>
          <w:color w:val="000000"/>
        </w:rPr>
        <w:t>ar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tiennent à la même espèce. </w:t>
      </w:r>
    </w:p>
    <w:p w14:paraId="56C73712" w14:textId="6B663560" w:rsidR="00711A79" w:rsidRPr="00711A79" w:rsidRDefault="00711A79">
      <w:pPr>
        <w:jc w:val="both"/>
        <w:rPr>
          <w:rFonts w:asciiTheme="minorHAnsi" w:eastAsia="Arial" w:hAnsiTheme="minorHAnsi" w:cstheme="minorHAnsi"/>
          <w:bCs/>
          <w:color w:val="000000"/>
        </w:rPr>
      </w:pPr>
      <w:r w:rsidRPr="00F97E4E">
        <w:rPr>
          <w:rFonts w:asciiTheme="minorHAnsi" w:eastAsia="Arial" w:hAnsiTheme="minorHAnsi" w:cstheme="minorHAnsi"/>
          <w:bCs/>
          <w:color w:val="000000"/>
          <w:u w:val="single"/>
        </w:rPr>
        <w:t xml:space="preserve">Consigne 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: </w:t>
      </w:r>
      <w:r w:rsidRPr="00711A79">
        <w:rPr>
          <w:rFonts w:asciiTheme="minorHAnsi" w:eastAsia="Arial" w:hAnsiTheme="minorHAnsi" w:cstheme="minorHAnsi"/>
          <w:b/>
          <w:color w:val="000000"/>
        </w:rPr>
        <w:t>Interpréter les résultats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 afin de déterminer si </w:t>
      </w:r>
      <w:r w:rsidRPr="00711A79">
        <w:rPr>
          <w:rFonts w:asciiTheme="minorHAnsi" w:eastAsia="Arial" w:hAnsiTheme="minorHAnsi" w:cstheme="minorHAnsi"/>
          <w:bCs/>
          <w:i/>
          <w:iCs/>
          <w:color w:val="000000"/>
        </w:rPr>
        <w:t>Hyla versicolor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 et </w:t>
      </w:r>
      <w:r w:rsidRPr="00711A79">
        <w:rPr>
          <w:rFonts w:asciiTheme="minorHAnsi" w:eastAsia="Arial" w:hAnsiTheme="minorHAnsi" w:cstheme="minorHAnsi"/>
          <w:bCs/>
          <w:i/>
          <w:iCs/>
          <w:color w:val="000000"/>
        </w:rPr>
        <w:t>Hyla chrysoscelis</w:t>
      </w:r>
      <w:r w:rsidRPr="00711A79">
        <w:rPr>
          <w:rFonts w:asciiTheme="minorHAnsi" w:eastAsia="Arial" w:hAnsiTheme="minorHAnsi" w:cstheme="minorHAnsi"/>
          <w:bCs/>
          <w:color w:val="000000"/>
        </w:rPr>
        <w:t xml:space="preserve"> appartiennent à la même espèce.</w:t>
      </w:r>
    </w:p>
    <w:p w14:paraId="7135EA3A" w14:textId="3F5263B0" w:rsidR="00CB26A6" w:rsidRDefault="00000000">
      <w:pPr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  <w:u w:val="single"/>
        </w:rPr>
        <w:t>Document à disposition si besoin</w:t>
      </w:r>
      <w:r>
        <w:rPr>
          <w:rFonts w:asciiTheme="minorHAnsi" w:eastAsia="Arial" w:hAnsiTheme="minorHAnsi" w:cstheme="minorHAnsi"/>
          <w:color w:val="000000"/>
        </w:rPr>
        <w:t> :</w:t>
      </w:r>
    </w:p>
    <w:p w14:paraId="3C67B8BE" w14:textId="77777777" w:rsidR="00CB26A6" w:rsidRDefault="00000000">
      <w:pPr>
        <w:jc w:val="center"/>
        <w:rPr>
          <w:rFonts w:asciiTheme="minorHAnsi" w:eastAsia="Arial" w:hAnsiTheme="minorHAnsi" w:cstheme="minorHAnsi"/>
          <w:i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t xml:space="preserve">Tableau des résultats de l’étude des chants de grenouilles </w:t>
      </w:r>
      <w:r>
        <w:rPr>
          <w:rFonts w:asciiTheme="minorHAnsi" w:eastAsia="Arial" w:hAnsiTheme="minorHAnsi" w:cstheme="minorHAnsi"/>
          <w:i/>
          <w:color w:val="000000"/>
          <w:u w:val="single"/>
        </w:rPr>
        <w:t>Hyla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42"/>
        <w:gridCol w:w="1743"/>
        <w:gridCol w:w="3486"/>
      </w:tblGrid>
      <w:tr w:rsidR="00CB26A6" w14:paraId="29C1FE87" w14:textId="77777777">
        <w:trPr>
          <w:trHeight w:val="135"/>
        </w:trPr>
        <w:tc>
          <w:tcPr>
            <w:tcW w:w="3485" w:type="dxa"/>
            <w:gridSpan w:val="2"/>
            <w:vMerge w:val="restart"/>
            <w:vAlign w:val="center"/>
          </w:tcPr>
          <w:p w14:paraId="72272CA8" w14:textId="77777777" w:rsidR="00CB26A6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Noms des espèces </w:t>
            </w:r>
          </w:p>
        </w:tc>
        <w:tc>
          <w:tcPr>
            <w:tcW w:w="3485" w:type="dxa"/>
            <w:gridSpan w:val="2"/>
            <w:vAlign w:val="center"/>
          </w:tcPr>
          <w:p w14:paraId="63E92EDA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i/>
                <w:color w:val="000000"/>
              </w:rPr>
            </w:pPr>
            <w:r>
              <w:rPr>
                <w:rFonts w:asciiTheme="minorHAnsi" w:eastAsia="Arial" w:hAnsiTheme="minorHAnsi" w:cstheme="minorHAnsi"/>
                <w:i/>
                <w:color w:val="000000"/>
              </w:rPr>
              <w:t>Hyla chrysoscelis</w:t>
            </w:r>
          </w:p>
        </w:tc>
        <w:tc>
          <w:tcPr>
            <w:tcW w:w="3486" w:type="dxa"/>
            <w:vMerge w:val="restart"/>
            <w:vAlign w:val="center"/>
          </w:tcPr>
          <w:p w14:paraId="03B74AEC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i/>
                <w:color w:val="000000"/>
              </w:rPr>
            </w:pPr>
            <w:r>
              <w:rPr>
                <w:rFonts w:asciiTheme="minorHAnsi" w:eastAsia="Arial" w:hAnsiTheme="minorHAnsi" w:cstheme="minorHAnsi"/>
                <w:i/>
                <w:color w:val="000000"/>
              </w:rPr>
              <w:t>Hyla versicolor</w:t>
            </w:r>
          </w:p>
        </w:tc>
      </w:tr>
      <w:tr w:rsidR="00CB26A6" w14:paraId="2D8B3CDF" w14:textId="77777777">
        <w:trPr>
          <w:trHeight w:val="135"/>
        </w:trPr>
        <w:tc>
          <w:tcPr>
            <w:tcW w:w="3485" w:type="dxa"/>
            <w:gridSpan w:val="2"/>
            <w:vMerge/>
            <w:vAlign w:val="center"/>
          </w:tcPr>
          <w:p w14:paraId="124E3CC4" w14:textId="77777777" w:rsidR="00CB26A6" w:rsidRDefault="00CB26A6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742" w:type="dxa"/>
            <w:vAlign w:val="center"/>
          </w:tcPr>
          <w:p w14:paraId="5E7DD5C3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Individu 1</w:t>
            </w:r>
          </w:p>
        </w:tc>
        <w:tc>
          <w:tcPr>
            <w:tcW w:w="1743" w:type="dxa"/>
            <w:vAlign w:val="center"/>
          </w:tcPr>
          <w:p w14:paraId="1C7E7A46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Individu 2</w:t>
            </w:r>
          </w:p>
        </w:tc>
        <w:tc>
          <w:tcPr>
            <w:tcW w:w="3486" w:type="dxa"/>
            <w:vMerge/>
            <w:vAlign w:val="center"/>
          </w:tcPr>
          <w:p w14:paraId="3B25A081" w14:textId="77777777" w:rsidR="00CB26A6" w:rsidRDefault="00CB26A6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CB26A6" w14:paraId="3865CDEA" w14:textId="77777777">
        <w:trPr>
          <w:trHeight w:val="270"/>
        </w:trPr>
        <w:tc>
          <w:tcPr>
            <w:tcW w:w="1742" w:type="dxa"/>
            <w:vMerge w:val="restart"/>
            <w:vAlign w:val="center"/>
          </w:tcPr>
          <w:p w14:paraId="51AAFFD7" w14:textId="77777777" w:rsidR="00CB26A6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Caractéristiques des phrases des chants</w:t>
            </w:r>
          </w:p>
        </w:tc>
        <w:tc>
          <w:tcPr>
            <w:tcW w:w="1743" w:type="dxa"/>
            <w:vAlign w:val="center"/>
          </w:tcPr>
          <w:p w14:paraId="2825CA3A" w14:textId="77777777" w:rsidR="00CB26A6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Nombres de syllabes</w:t>
            </w:r>
          </w:p>
        </w:tc>
        <w:tc>
          <w:tcPr>
            <w:tcW w:w="3485" w:type="dxa"/>
            <w:gridSpan w:val="2"/>
            <w:vAlign w:val="center"/>
          </w:tcPr>
          <w:p w14:paraId="4CCBD4DB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2</w:t>
            </w:r>
          </w:p>
        </w:tc>
        <w:tc>
          <w:tcPr>
            <w:tcW w:w="3486" w:type="dxa"/>
            <w:vAlign w:val="center"/>
          </w:tcPr>
          <w:p w14:paraId="42B1C1D5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</w:t>
            </w:r>
          </w:p>
        </w:tc>
      </w:tr>
      <w:tr w:rsidR="00CB26A6" w14:paraId="3BA18F13" w14:textId="77777777">
        <w:trPr>
          <w:trHeight w:val="270"/>
        </w:trPr>
        <w:tc>
          <w:tcPr>
            <w:tcW w:w="1742" w:type="dxa"/>
            <w:vMerge/>
            <w:vAlign w:val="center"/>
          </w:tcPr>
          <w:p w14:paraId="34995310" w14:textId="77777777" w:rsidR="00CB26A6" w:rsidRDefault="00CB26A6">
            <w:pP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743" w:type="dxa"/>
            <w:vAlign w:val="center"/>
          </w:tcPr>
          <w:p w14:paraId="79146A78" w14:textId="77777777" w:rsidR="00CB26A6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Nombres de notes</w:t>
            </w:r>
          </w:p>
        </w:tc>
        <w:tc>
          <w:tcPr>
            <w:tcW w:w="3485" w:type="dxa"/>
            <w:gridSpan w:val="2"/>
            <w:vAlign w:val="center"/>
          </w:tcPr>
          <w:p w14:paraId="1F457FBF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3</w:t>
            </w:r>
          </w:p>
        </w:tc>
        <w:tc>
          <w:tcPr>
            <w:tcW w:w="3486" w:type="dxa"/>
            <w:vAlign w:val="center"/>
          </w:tcPr>
          <w:p w14:paraId="4842897E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5</w:t>
            </w:r>
          </w:p>
        </w:tc>
      </w:tr>
      <w:tr w:rsidR="00CB26A6" w14:paraId="0921C34D" w14:textId="77777777">
        <w:trPr>
          <w:trHeight w:val="270"/>
        </w:trPr>
        <w:tc>
          <w:tcPr>
            <w:tcW w:w="1742" w:type="dxa"/>
            <w:vMerge/>
            <w:vAlign w:val="center"/>
          </w:tcPr>
          <w:p w14:paraId="3FFA9FBF" w14:textId="77777777" w:rsidR="00CB26A6" w:rsidRDefault="00CB26A6">
            <w:pP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1743" w:type="dxa"/>
            <w:vAlign w:val="center"/>
          </w:tcPr>
          <w:p w14:paraId="0CCF460B" w14:textId="77777777" w:rsidR="00CB26A6" w:rsidRDefault="00000000">
            <w:pPr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Durées d’une note (en s)</w:t>
            </w:r>
          </w:p>
        </w:tc>
        <w:tc>
          <w:tcPr>
            <w:tcW w:w="3485" w:type="dxa"/>
            <w:gridSpan w:val="2"/>
            <w:vAlign w:val="center"/>
          </w:tcPr>
          <w:p w14:paraId="06BEDDCE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</w:t>
            </w:r>
          </w:p>
        </w:tc>
        <w:tc>
          <w:tcPr>
            <w:tcW w:w="3486" w:type="dxa"/>
            <w:vAlign w:val="center"/>
          </w:tcPr>
          <w:p w14:paraId="634FD817" w14:textId="77777777" w:rsidR="00CB26A6" w:rsidRDefault="00000000">
            <w:pP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0,5</w:t>
            </w:r>
          </w:p>
        </w:tc>
      </w:tr>
    </w:tbl>
    <w:p w14:paraId="6F4E0563" w14:textId="77777777" w:rsidR="00CB26A6" w:rsidRDefault="00000000">
      <w:pPr>
        <w:rPr>
          <w:rFonts w:asciiTheme="minorHAnsi" w:eastAsia="Arial" w:hAnsiTheme="minorHAnsi" w:cstheme="minorHAnsi"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br w:type="page" w:clear="all"/>
      </w:r>
    </w:p>
    <w:p w14:paraId="1F318B72" w14:textId="77777777" w:rsidR="00CB26A6" w:rsidRDefault="00000000">
      <w:pPr>
        <w:spacing w:after="120"/>
        <w:rPr>
          <w:rFonts w:asciiTheme="minorHAnsi" w:eastAsia="Arial" w:hAnsiTheme="minorHAnsi" w:cstheme="minorHAnsi"/>
          <w:color w:val="000000"/>
          <w:u w:val="single"/>
        </w:rPr>
      </w:pPr>
      <w:r>
        <w:rPr>
          <w:rFonts w:asciiTheme="minorHAnsi" w:eastAsia="Arial" w:hAnsiTheme="minorHAnsi" w:cstheme="minorHAnsi"/>
          <w:color w:val="000000"/>
          <w:u w:val="single"/>
        </w:rPr>
        <w:lastRenderedPageBreak/>
        <w:t>Document de référence : Les conditions nécessaires à la reproduction des grenouilles Hyla</w:t>
      </w:r>
    </w:p>
    <w:p w14:paraId="4ABF5E38" w14:textId="77777777" w:rsidR="00CB26A6" w:rsidRDefault="00000000">
      <w:pPr>
        <w:spacing w:after="0" w:line="240" w:lineRule="auto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Pour que deux individus d’une même espèce de grenouille puissent se reproduire, il faut que :</w:t>
      </w:r>
    </w:p>
    <w:p w14:paraId="2A8E60F6" w14:textId="77777777" w:rsidR="00CB26A6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le milieu de vie soit, au moins temporairement, identique ;</w:t>
      </w:r>
    </w:p>
    <w:p w14:paraId="332A964F" w14:textId="77777777" w:rsidR="00CB26A6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la période de reproduction soit la même ;</w:t>
      </w:r>
    </w:p>
    <w:p w14:paraId="03D51F7B" w14:textId="77777777" w:rsidR="00CB26A6" w:rsidRDefault="0000000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 xml:space="preserve">les femelles reconnaissent les phrases des chants de mâles de leur espèce ; </w:t>
      </w:r>
    </w:p>
    <w:p w14:paraId="22256FCD" w14:textId="77777777" w:rsidR="00CB26A6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les deux individus soient génétiquement très proches.</w:t>
      </w:r>
    </w:p>
    <w:p w14:paraId="113ED535" w14:textId="77777777" w:rsidR="00CB26A6" w:rsidRDefault="00CB26A6">
      <w:pPr>
        <w:jc w:val="both"/>
        <w:rPr>
          <w:rFonts w:asciiTheme="minorHAnsi" w:eastAsia="Arial" w:hAnsiTheme="minorHAnsi" w:cstheme="minorHAnsi"/>
          <w:color w:val="000000"/>
        </w:rPr>
      </w:pPr>
    </w:p>
    <w:p w14:paraId="3285FB8A" w14:textId="337B2034" w:rsidR="00CB26A6" w:rsidRDefault="00000000">
      <w:pPr>
        <w:rPr>
          <w:rFonts w:asciiTheme="minorHAnsi" w:eastAsiaTheme="minorHAnsi" w:hAnsiTheme="minorHAnsi" w:cstheme="minorBidi"/>
          <w:lang w:val="fr-FR" w:eastAsia="en-US"/>
        </w:rPr>
      </w:pPr>
      <w:r>
        <w:rPr>
          <w:rFonts w:asciiTheme="minorHAnsi" w:eastAsiaTheme="minorHAnsi" w:hAnsiTheme="minorHAnsi" w:cstheme="minorBidi"/>
          <w:b/>
          <w:color w:val="00B0F0"/>
          <w:lang w:val="fr-FR" w:eastAsia="en-US"/>
        </w:rPr>
        <w:t xml:space="preserve">Critères de réussite de la compétence travaillée </w:t>
      </w:r>
      <w:r>
        <w:rPr>
          <w:rFonts w:asciiTheme="minorHAnsi" w:eastAsiaTheme="minorHAnsi" w:hAnsiTheme="minorHAnsi" w:cstheme="minorBidi"/>
          <w:lang w:val="fr-FR" w:eastAsia="en-US"/>
        </w:rPr>
        <w:t xml:space="preserve">: </w:t>
      </w:r>
      <w:r w:rsidR="00F97E4E" w:rsidRPr="00F97E4E">
        <w:rPr>
          <w:rFonts w:asciiTheme="minorHAnsi" w:eastAsiaTheme="minorHAnsi" w:hAnsiTheme="minorHAnsi" w:cstheme="minorBidi"/>
          <w:lang w:eastAsia="en-US"/>
        </w:rPr>
        <w:t>Interpréter des résultats et en tirer des conclusions.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CB26A6" w14:paraId="637ACF2E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  <w:vAlign w:val="center"/>
          </w:tcPr>
          <w:p w14:paraId="590FBA31" w14:textId="77777777" w:rsidR="00CB26A6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lang w:val="fr-F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 xml:space="preserve">Je réussis à interpréter des résultats et en tirer des conclusions si :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4B66DA91" w14:textId="77777777" w:rsidR="00CB26A6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lang w:val="fr-F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Evaluation</w:t>
            </w:r>
          </w:p>
          <w:p w14:paraId="43DBD4AD" w14:textId="77777777" w:rsidR="00CB26A6" w:rsidRDefault="00000000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lang w:val="fr-F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+/-</w:t>
            </w:r>
          </w:p>
        </w:tc>
      </w:tr>
      <w:tr w:rsidR="00CB26A6" w14:paraId="4ADF7D4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0BD9" w14:textId="77777777" w:rsidR="00CB26A6" w:rsidRDefault="00000000">
            <w:pPr>
              <w:rPr>
                <w:rFonts w:asciiTheme="minorHAnsi" w:eastAsiaTheme="minorHAnsi" w:hAnsiTheme="minorHAnsi" w:cstheme="minorHAnsi"/>
                <w:lang w:val="fr-FR" w:eastAsia="en-US"/>
              </w:rPr>
            </w:pPr>
            <w:r>
              <w:rPr>
                <w:rFonts w:asciiTheme="minorHAnsi" w:eastAsiaTheme="minorHAnsi" w:hAnsiTheme="minorHAnsi" w:cstheme="minorHAnsi"/>
                <w:u w:val="single"/>
                <w:lang w:val="fr-FR" w:eastAsia="en-US"/>
              </w:rPr>
              <w:t>PERTINENCE</w:t>
            </w:r>
            <w:r>
              <w:rPr>
                <w:rFonts w:asciiTheme="minorHAnsi" w:eastAsiaTheme="minorHAnsi" w:hAnsiTheme="minorHAnsi" w:cstheme="minorHAnsi"/>
                <w:spacing w:val="-6"/>
                <w:u w:val="single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 xml:space="preserve">: </w:t>
            </w:r>
            <w:r>
              <w:rPr>
                <w:rFonts w:asciiTheme="minorHAnsi" w:eastAsiaTheme="minorHAnsi" w:hAnsiTheme="minorHAnsi" w:cstheme="minorHAnsi"/>
                <w:lang w:val="fr-FR" w:eastAsia="en-US"/>
                <w14:ligatures w14:val="standardContextual"/>
              </w:rPr>
              <w:t xml:space="preserve">Mon interprétation permet de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  <w14:ligatures w14:val="standardContextual"/>
              </w:rPr>
              <w:t>valider ou de réfuter l’hypothèse testée</w:t>
            </w:r>
            <w:r>
              <w:rPr>
                <w:rFonts w:asciiTheme="minorHAnsi" w:eastAsiaTheme="minorHAnsi" w:hAnsiTheme="minorHAnsi" w:cstheme="minorHAnsi"/>
                <w:lang w:val="fr-FR" w:eastAsia="en-US"/>
                <w14:ligatures w14:val="standardContextual"/>
              </w:rPr>
              <w:t xml:space="preserve"> et donc de répondre au problème posé.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281" w14:textId="77777777" w:rsidR="00CB26A6" w:rsidRDefault="00CB26A6">
            <w:pPr>
              <w:jc w:val="center"/>
              <w:rPr>
                <w:rFonts w:asciiTheme="minorHAnsi" w:eastAsiaTheme="minorHAnsi" w:hAnsiTheme="minorHAnsi" w:cstheme="minorHAnsi"/>
                <w:lang w:val="fr-FR" w:eastAsia="en-US"/>
              </w:rPr>
            </w:pPr>
          </w:p>
        </w:tc>
      </w:tr>
      <w:tr w:rsidR="00CB26A6" w14:paraId="67273362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264" w14:textId="77777777" w:rsidR="00CB26A6" w:rsidRDefault="00000000">
            <w:pPr>
              <w:widowControl w:val="0"/>
              <w:tabs>
                <w:tab w:val="left" w:pos="805"/>
              </w:tabs>
              <w:spacing w:after="0" w:line="260" w:lineRule="exact"/>
              <w:rPr>
                <w:rFonts w:asciiTheme="minorHAnsi" w:hAnsiTheme="minorHAnsi" w:cstheme="minorHAnsi"/>
                <w:lang w:val="fr-FR" w:eastAsia="en-US"/>
              </w:rPr>
            </w:pPr>
            <w:r>
              <w:rPr>
                <w:rFonts w:asciiTheme="minorHAnsi" w:hAnsiTheme="minorHAnsi" w:cstheme="minorHAnsi"/>
                <w:u w:val="single"/>
                <w:lang w:val="fr-FR" w:eastAsia="en-US"/>
              </w:rPr>
              <w:t xml:space="preserve">COMPLETUDE </w:t>
            </w:r>
            <w:r>
              <w:rPr>
                <w:rFonts w:asciiTheme="minorHAnsi" w:hAnsiTheme="minorHAnsi" w:cstheme="minorHAnsi"/>
                <w:lang w:val="fr-FR" w:eastAsia="en-US"/>
              </w:rPr>
              <w:t xml:space="preserve">: Mon interprétation précise : </w:t>
            </w:r>
          </w:p>
          <w:p w14:paraId="7CC0F237" w14:textId="77777777" w:rsidR="00CB26A6" w:rsidRDefault="00000000">
            <w:pPr>
              <w:widowControl w:val="0"/>
              <w:tabs>
                <w:tab w:val="left" w:pos="805"/>
              </w:tabs>
              <w:spacing w:after="0" w:line="260" w:lineRule="exact"/>
              <w:rPr>
                <w:rFonts w:asciiTheme="minorHAnsi" w:hAnsiTheme="minorHAnsi" w:cstheme="minorHAnsi"/>
                <w:lang w:val="fr-FR" w:eastAsia="en-US"/>
              </w:rPr>
            </w:pPr>
            <w:r>
              <w:rPr>
                <w:rFonts w:asciiTheme="minorHAnsi" w:hAnsiTheme="minorHAnsi" w:cstheme="minorHAnsi"/>
                <w:lang w:val="fr-FR" w:eastAsia="en-US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«</w:t>
            </w:r>
            <w:r>
              <w:rPr>
                <w:rFonts w:asciiTheme="minorHAnsi" w:hAnsiTheme="minorHAnsi" w:cstheme="minorHAnsi"/>
                <w:b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Ce</w:t>
            </w:r>
            <w:r>
              <w:rPr>
                <w:rFonts w:asciiTheme="minorHAnsi" w:hAnsiTheme="minorHAnsi" w:cstheme="minorHAnsi"/>
                <w:b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que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l’on</w:t>
            </w:r>
            <w:r>
              <w:rPr>
                <w:rFonts w:asciiTheme="minorHAnsi" w:hAnsiTheme="minorHAnsi" w:cstheme="minorHAnsi"/>
                <w:b/>
                <w:spacing w:val="-7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observe</w:t>
            </w:r>
            <w:r>
              <w:rPr>
                <w:rFonts w:asciiTheme="minorHAnsi" w:hAnsiTheme="minorHAnsi" w:cstheme="minorHAnsi"/>
                <w:b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»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 : </w:t>
            </w:r>
            <w:r>
              <w:rPr>
                <w:rFonts w:asciiTheme="minorHAnsi" w:hAnsiTheme="minorHAnsi" w:cstheme="minorHAnsi"/>
                <w:lang w:val="fr-FR" w:eastAsia="en-US"/>
              </w:rPr>
              <w:t>présentation</w:t>
            </w:r>
            <w:r>
              <w:rPr>
                <w:rFonts w:asciiTheme="minorHAnsi" w:hAnsiTheme="minorHAnsi" w:cstheme="minorHAnsi"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de</w:t>
            </w:r>
            <w:r>
              <w:rPr>
                <w:rFonts w:asciiTheme="minorHAnsi" w:hAnsiTheme="minorHAnsi" w:cstheme="minorHAnsi"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l’ensemble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des</w:t>
            </w:r>
            <w:r>
              <w:rPr>
                <w:rFonts w:asciiTheme="minorHAnsi" w:hAnsiTheme="minorHAnsi" w:cstheme="minorHAnsi"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lang w:val="fr-FR" w:eastAsia="en-US"/>
              </w:rPr>
              <w:t>résultats.</w:t>
            </w:r>
          </w:p>
          <w:p w14:paraId="11192CFB" w14:textId="77777777" w:rsidR="00CB26A6" w:rsidRDefault="00000000">
            <w:pPr>
              <w:widowControl w:val="0"/>
              <w:tabs>
                <w:tab w:val="left" w:pos="805"/>
              </w:tabs>
              <w:spacing w:before="2" w:after="0" w:line="232" w:lineRule="auto"/>
              <w:ind w:right="82"/>
              <w:rPr>
                <w:rFonts w:asciiTheme="minorHAnsi" w:hAnsiTheme="minorHAnsi" w:cstheme="minorHAnsi"/>
                <w:lang w:val="fr-FR" w:eastAsia="en-US"/>
              </w:rPr>
            </w:pPr>
            <w:r>
              <w:rPr>
                <w:rFonts w:asciiTheme="minorHAnsi" w:hAnsiTheme="minorHAnsi" w:cstheme="minorHAnsi"/>
                <w:b/>
                <w:lang w:val="fr-FR" w:eastAsia="en-US"/>
              </w:rPr>
              <w:t>- «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Ce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que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l’on</w:t>
            </w:r>
            <w:r>
              <w:rPr>
                <w:rFonts w:asciiTheme="minorHAnsi" w:hAnsiTheme="minorHAnsi" w:cstheme="minorHAnsi"/>
                <w:b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sait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fr-FR" w:eastAsia="en-US"/>
              </w:rPr>
              <w:t>»</w:t>
            </w:r>
            <w:r>
              <w:rPr>
                <w:rFonts w:asciiTheme="minorHAnsi" w:hAnsiTheme="minorHAnsi" w:cstheme="minorHAnsi"/>
                <w:b/>
                <w:spacing w:val="-5"/>
                <w:lang w:val="fr-FR" w:eastAsia="en-US"/>
              </w:rPr>
              <w:t xml:space="preserve"> : </w:t>
            </w:r>
            <w:r>
              <w:rPr>
                <w:rFonts w:asciiTheme="minorHAnsi" w:hAnsiTheme="minorHAnsi" w:cstheme="minorHAnsi"/>
                <w:lang w:val="fr-FR" w:eastAsia="en-US"/>
              </w:rPr>
              <w:t>ajout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des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notions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issues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des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connaissances/ressources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et/ou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mise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en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situation, adaptées à l’interprétation.</w:t>
            </w:r>
          </w:p>
          <w:p w14:paraId="0DDF5C8C" w14:textId="77777777" w:rsidR="00CB26A6" w:rsidRDefault="00000000">
            <w:pPr>
              <w:rPr>
                <w:rFonts w:asciiTheme="minorHAnsi" w:eastAsiaTheme="minorHAnsi" w:hAnsiTheme="minorHAnsi" w:cstheme="minorHAnsi"/>
                <w:lang w:val="fr-FR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- «</w:t>
            </w:r>
            <w:r>
              <w:rPr>
                <w:rFonts w:asciiTheme="minorHAnsi" w:eastAsiaTheme="minorHAnsi" w:hAnsiTheme="minorHAnsi" w:cstheme="minorHAnsi"/>
                <w:b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Ce</w:t>
            </w:r>
            <w:r>
              <w:rPr>
                <w:rFonts w:asciiTheme="minorHAnsi" w:eastAsiaTheme="minorHAnsi" w:hAnsiTheme="minorHAnsi" w:cstheme="minorHAnsi"/>
                <w:b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que</w:t>
            </w:r>
            <w:r>
              <w:rPr>
                <w:rFonts w:asciiTheme="minorHAnsi" w:eastAsiaTheme="minorHAnsi" w:hAnsiTheme="minorHAnsi" w:cstheme="minorHAnsi"/>
                <w:b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l’on</w:t>
            </w:r>
            <w:r>
              <w:rPr>
                <w:rFonts w:asciiTheme="minorHAnsi" w:eastAsiaTheme="minorHAnsi" w:hAnsiTheme="minorHAnsi" w:cstheme="minorHAnsi"/>
                <w:b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conclut</w:t>
            </w:r>
            <w:r>
              <w:rPr>
                <w:rFonts w:asciiTheme="minorHAnsi" w:eastAsiaTheme="minorHAnsi" w:hAnsiTheme="minorHAnsi" w:cstheme="minorHAnsi"/>
                <w:b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»</w:t>
            </w:r>
            <w:r>
              <w:rPr>
                <w:rFonts w:asciiTheme="minorHAnsi" w:eastAsiaTheme="minorHAnsi" w:hAnsiTheme="minorHAnsi" w:cstheme="minorHAnsi"/>
                <w:b/>
                <w:spacing w:val="-3"/>
                <w:lang w:val="fr-FR" w:eastAsia="en-US"/>
              </w:rPr>
              <w:t xml:space="preserve"> :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mise</w:t>
            </w:r>
            <w:r>
              <w:rPr>
                <w:rFonts w:asciiTheme="minorHAnsi" w:eastAsia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en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relation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des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résultats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et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des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notions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pour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répondre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au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pacing w:val="-2"/>
                <w:lang w:val="fr-FR" w:eastAsia="en-US"/>
              </w:rPr>
              <w:t>problème.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5A6" w14:textId="77777777" w:rsidR="00CB26A6" w:rsidRDefault="00CB26A6">
            <w:pPr>
              <w:jc w:val="center"/>
              <w:rPr>
                <w:rFonts w:asciiTheme="minorHAnsi" w:eastAsiaTheme="minorHAnsi" w:hAnsiTheme="minorHAnsi" w:cstheme="minorHAnsi"/>
                <w:lang w:val="fr-FR" w:eastAsia="en-US"/>
              </w:rPr>
            </w:pPr>
          </w:p>
        </w:tc>
      </w:tr>
      <w:tr w:rsidR="00CB26A6" w14:paraId="5AD7DFD9" w14:textId="77777777">
        <w:trPr>
          <w:trHeight w:val="113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DE3" w14:textId="77777777" w:rsidR="00CB26A6" w:rsidRDefault="00000000">
            <w:pPr>
              <w:widowControl w:val="0"/>
              <w:spacing w:after="0" w:line="240" w:lineRule="auto"/>
              <w:ind w:left="85"/>
              <w:rPr>
                <w:rFonts w:asciiTheme="minorHAnsi" w:hAnsiTheme="minorHAnsi" w:cstheme="minorHAnsi"/>
                <w:b/>
                <w:lang w:val="fr-FR" w:eastAsia="en-US"/>
              </w:rPr>
            </w:pPr>
            <w:r>
              <w:rPr>
                <w:rFonts w:asciiTheme="minorHAnsi" w:hAnsiTheme="minorHAnsi" w:cstheme="minorHAnsi"/>
                <w:u w:val="single"/>
                <w:lang w:val="fr-FR" w:eastAsia="en-US"/>
              </w:rPr>
              <w:t>EXACTITUDE </w:t>
            </w:r>
            <w:r>
              <w:rPr>
                <w:rFonts w:asciiTheme="minorHAnsi" w:hAnsiTheme="minorHAnsi" w:cstheme="minorHAnsi"/>
                <w:lang w:val="fr-FR" w:eastAsia="en-US"/>
              </w:rPr>
              <w:t>: Je</w:t>
            </w:r>
            <w:r>
              <w:rPr>
                <w:rFonts w:asciiTheme="minorHAnsi" w:hAnsiTheme="minorHAnsi" w:cstheme="minorHAnsi"/>
                <w:spacing w:val="-2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suis</w:t>
            </w:r>
            <w:r>
              <w:rPr>
                <w:rFonts w:asciiTheme="minorHAnsi" w:hAnsiTheme="minorHAnsi" w:cstheme="minorHAnsi"/>
                <w:spacing w:val="-1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  <w:lang w:val="fr-FR" w:eastAsia="en-US"/>
              </w:rPr>
              <w:t>rigoureux</w:t>
            </w:r>
          </w:p>
          <w:p w14:paraId="0A4C3DE7" w14:textId="77777777" w:rsidR="00CB26A6" w:rsidRDefault="00000000">
            <w:pPr>
              <w:widowControl w:val="0"/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rPr>
                <w:rFonts w:asciiTheme="minorHAnsi" w:hAnsiTheme="minorHAnsi" w:cstheme="minorHAnsi"/>
                <w:lang w:val="fr-FR" w:eastAsia="en-US"/>
              </w:rPr>
            </w:pPr>
            <w:r>
              <w:rPr>
                <w:rFonts w:asciiTheme="minorHAnsi" w:hAnsiTheme="minorHAnsi" w:cstheme="minorHAnsi"/>
                <w:lang w:val="fr-FR" w:eastAsia="en-US"/>
              </w:rPr>
              <w:t>quantification</w:t>
            </w:r>
            <w:r>
              <w:rPr>
                <w:rFonts w:asciiTheme="minorHAnsi" w:hAnsiTheme="minorHAnsi" w:cstheme="minorHAnsi"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des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données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si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lang w:val="fr-FR" w:eastAsia="en-US"/>
              </w:rPr>
              <w:t>possible.</w:t>
            </w:r>
          </w:p>
          <w:p w14:paraId="29EF71A1" w14:textId="77777777" w:rsidR="00CB26A6" w:rsidRDefault="00000000">
            <w:pPr>
              <w:widowControl w:val="0"/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rPr>
                <w:rFonts w:asciiTheme="minorHAnsi" w:hAnsiTheme="minorHAnsi" w:cstheme="minorHAnsi"/>
                <w:lang w:val="fr-FR" w:eastAsia="en-US"/>
              </w:rPr>
            </w:pPr>
            <w:r>
              <w:rPr>
                <w:rFonts w:asciiTheme="minorHAnsi" w:hAnsiTheme="minorHAnsi" w:cstheme="minorHAnsi"/>
                <w:lang w:val="fr-FR" w:eastAsia="en-US"/>
              </w:rPr>
              <w:t>vocabulaire</w:t>
            </w:r>
            <w:r>
              <w:rPr>
                <w:rFonts w:asciiTheme="minorHAnsi" w:hAnsiTheme="minorHAnsi" w:cstheme="minorHAnsi"/>
                <w:spacing w:val="-7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scientifique</w:t>
            </w:r>
            <w:r>
              <w:rPr>
                <w:rFonts w:asciiTheme="minorHAnsi" w:hAnsiTheme="minorHAnsi" w:cstheme="minorHAnsi"/>
                <w:spacing w:val="-7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exact</w:t>
            </w:r>
            <w:r>
              <w:rPr>
                <w:rFonts w:asciiTheme="minorHAnsi" w:hAnsiTheme="minorHAnsi" w:cstheme="minorHAnsi"/>
                <w:spacing w:val="-7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et</w:t>
            </w:r>
            <w:r>
              <w:rPr>
                <w:rFonts w:asciiTheme="minorHAnsi" w:hAnsiTheme="minorHAnsi" w:cstheme="minorHAnsi"/>
                <w:spacing w:val="-6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lang w:val="fr-FR" w:eastAsia="en-US"/>
              </w:rPr>
              <w:t>précis.</w:t>
            </w:r>
          </w:p>
          <w:p w14:paraId="61E6F57E" w14:textId="77777777" w:rsidR="00CB26A6" w:rsidRDefault="00000000">
            <w:pPr>
              <w:widowControl w:val="0"/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rPr>
                <w:rFonts w:asciiTheme="minorHAnsi" w:hAnsiTheme="minorHAnsi" w:cstheme="minorHAnsi"/>
                <w:lang w:val="fr-FR" w:eastAsia="en-US"/>
              </w:rPr>
            </w:pPr>
            <w:r>
              <w:rPr>
                <w:rFonts w:asciiTheme="minorHAnsi" w:hAnsiTheme="minorHAnsi" w:cstheme="minorHAnsi"/>
                <w:lang w:val="fr-FR" w:eastAsia="en-US"/>
              </w:rPr>
              <w:t>sans</w:t>
            </w:r>
            <w:r>
              <w:rPr>
                <w:rFonts w:asciiTheme="minorHAnsi" w:hAnsiTheme="minorHAnsi" w:cstheme="minorHAnsi"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déformation</w:t>
            </w:r>
            <w:r>
              <w:rPr>
                <w:rFonts w:ascii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ni</w:t>
            </w:r>
            <w:r>
              <w:rPr>
                <w:rFonts w:ascii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erreur</w:t>
            </w:r>
            <w:r>
              <w:rPr>
                <w:rFonts w:ascii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fr-FR" w:eastAsia="en-US"/>
              </w:rPr>
              <w:t>de</w:t>
            </w:r>
            <w:r>
              <w:rPr>
                <w:rFonts w:ascii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lang w:val="fr-FR" w:eastAsia="en-US"/>
              </w:rPr>
              <w:t>lecture.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D1F7" w14:textId="77777777" w:rsidR="00CB26A6" w:rsidRDefault="00CB26A6">
            <w:pPr>
              <w:jc w:val="center"/>
              <w:rPr>
                <w:rFonts w:asciiTheme="minorHAnsi" w:eastAsiaTheme="minorHAnsi" w:hAnsiTheme="minorHAnsi" w:cstheme="minorHAnsi"/>
                <w:lang w:val="fr-FR" w:eastAsia="en-US"/>
              </w:rPr>
            </w:pPr>
          </w:p>
        </w:tc>
      </w:tr>
      <w:tr w:rsidR="00CB26A6" w14:paraId="17EBA3EE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700F" w14:textId="77777777" w:rsidR="00CB26A6" w:rsidRDefault="00000000">
            <w:pPr>
              <w:rPr>
                <w:rFonts w:asciiTheme="minorHAnsi" w:eastAsiaTheme="minorHAnsi" w:hAnsiTheme="minorHAnsi" w:cstheme="minorHAnsi"/>
                <w:lang w:val="fr-FR" w:eastAsia="en-US"/>
              </w:rPr>
            </w:pPr>
            <w:r>
              <w:rPr>
                <w:rFonts w:asciiTheme="minorHAnsi" w:eastAsiaTheme="minorHAnsi" w:hAnsiTheme="minorHAnsi" w:cstheme="minorHAnsi"/>
                <w:u w:val="single"/>
                <w:lang w:val="fr-FR" w:eastAsia="en-US"/>
              </w:rPr>
              <w:t>CONFORMITE</w:t>
            </w:r>
            <w:r>
              <w:rPr>
                <w:rFonts w:asciiTheme="minorHAnsi" w:eastAsiaTheme="minorHAnsi" w:hAnsiTheme="minorHAnsi" w:cstheme="minorHAnsi"/>
                <w:spacing w:val="-11"/>
                <w:u w:val="single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u w:val="single"/>
                <w:lang w:val="fr-FR" w:eastAsia="en-US"/>
              </w:rPr>
              <w:t xml:space="preserve">: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J’ai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lang w:val="fr-FR" w:eastAsia="en-US"/>
              </w:rPr>
              <w:t>structuré</w:t>
            </w:r>
            <w:r>
              <w:rPr>
                <w:rFonts w:asciiTheme="minorHAnsi" w:eastAsiaTheme="minorHAnsi" w:hAnsiTheme="minorHAnsi" w:cstheme="minorHAnsi"/>
                <w:b/>
                <w:spacing w:val="-5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mon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écrit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afin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de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faciliter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sa</w:t>
            </w:r>
            <w:r>
              <w:rPr>
                <w:rFonts w:asciiTheme="minorHAnsi" w:eastAsiaTheme="minorHAnsi" w:hAnsiTheme="minorHAnsi" w:cstheme="minorHAnsi"/>
                <w:spacing w:val="-3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lecture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et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val="fr-FR" w:eastAsia="en-US"/>
              </w:rPr>
              <w:t>sa</w:t>
            </w:r>
            <w:r>
              <w:rPr>
                <w:rFonts w:asciiTheme="minorHAnsi" w:eastAsiaTheme="minorHAnsi" w:hAnsiTheme="minorHAnsi" w:cstheme="minorHAnsi"/>
                <w:spacing w:val="-4"/>
                <w:lang w:val="fr-FR"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pacing w:val="-2"/>
                <w:lang w:val="fr-FR" w:eastAsia="en-US"/>
              </w:rPr>
              <w:t>compréhension : j’ai mis en relation les 3 parties de mon interprétation par des connecteurs logiques.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C53" w14:textId="77777777" w:rsidR="00CB26A6" w:rsidRDefault="00CB26A6">
            <w:pPr>
              <w:jc w:val="center"/>
              <w:rPr>
                <w:rFonts w:asciiTheme="minorHAnsi" w:eastAsiaTheme="minorHAnsi" w:hAnsiTheme="minorHAnsi" w:cstheme="minorHAnsi"/>
                <w:lang w:val="fr-FR" w:eastAsia="en-US"/>
              </w:rPr>
            </w:pPr>
          </w:p>
        </w:tc>
      </w:tr>
    </w:tbl>
    <w:p w14:paraId="45FCAAE4" w14:textId="77777777" w:rsidR="00CB26A6" w:rsidRDefault="00CB26A6">
      <w:pPr>
        <w:rPr>
          <w:rFonts w:asciiTheme="minorHAnsi" w:eastAsiaTheme="minorHAnsi" w:hAnsiTheme="minorHAnsi" w:cstheme="minorBidi"/>
          <w:lang w:val="fr-FR" w:eastAsia="en-US"/>
        </w:rPr>
      </w:pPr>
    </w:p>
    <w:p w14:paraId="0934C6F8" w14:textId="77777777" w:rsidR="00CB26A6" w:rsidRDefault="00000000">
      <w:pPr>
        <w:rPr>
          <w:rFonts w:asciiTheme="minorHAnsi" w:eastAsiaTheme="minorHAnsi" w:hAnsiTheme="minorHAnsi" w:cstheme="minorHAnsi"/>
          <w:b/>
          <w:color w:val="00B0F0"/>
          <w:lang w:val="fr-FR" w:eastAsia="en-US"/>
        </w:rPr>
      </w:pPr>
      <w:r>
        <w:rPr>
          <w:rFonts w:asciiTheme="minorHAnsi" w:eastAsiaTheme="minorHAnsi" w:hAnsiTheme="minorHAnsi" w:cstheme="minorHAnsi"/>
          <w:b/>
          <w:color w:val="00B0F0"/>
          <w:lang w:val="fr-FR" w:eastAsia="en-US"/>
        </w:rPr>
        <w:t xml:space="preserve">Activité complémentaire possible : </w:t>
      </w:r>
    </w:p>
    <w:p w14:paraId="48C1DF47" w14:textId="77777777" w:rsidR="00CB26A6" w:rsidRDefault="00000000">
      <w:pPr>
        <w:contextualSpacing/>
        <w:jc w:val="both"/>
        <w:rPr>
          <w:rFonts w:asciiTheme="minorHAnsi" w:eastAsiaTheme="minorHAnsi" w:hAnsiTheme="minorHAnsi" w:cstheme="minorHAnsi"/>
          <w:lang w:val="fr-FR" w:eastAsia="en-US"/>
        </w:rPr>
      </w:pPr>
      <w:r>
        <w:rPr>
          <w:rFonts w:asciiTheme="minorHAnsi" w:eastAsiaTheme="minorHAnsi" w:hAnsiTheme="minorHAnsi" w:cstheme="minorHAnsi"/>
          <w:lang w:val="fr-FR" w:eastAsia="en-US"/>
        </w:rPr>
        <w:t>Activité ciblant la compétence construire un schéma fonctionnel (cf. Banque).</w:t>
      </w:r>
    </w:p>
    <w:p w14:paraId="509F6FB3" w14:textId="77777777" w:rsidR="00CB26A6" w:rsidRDefault="00CB26A6">
      <w:pPr>
        <w:contextualSpacing/>
        <w:jc w:val="both"/>
        <w:rPr>
          <w:b/>
          <w:color w:val="00B0F0"/>
        </w:rPr>
      </w:pPr>
    </w:p>
    <w:p w14:paraId="0F8CF5C1" w14:textId="77777777" w:rsidR="00CB26A6" w:rsidRDefault="00000000">
      <w:pPr>
        <w:contextualSpacing/>
        <w:jc w:val="both"/>
        <w:rPr>
          <w:b/>
          <w:color w:val="00B0F0"/>
        </w:rPr>
      </w:pPr>
      <w:r>
        <w:rPr>
          <w:b/>
          <w:color w:val="00B0F0"/>
        </w:rPr>
        <w:t xml:space="preserve">ANNEXE : </w:t>
      </w:r>
    </w:p>
    <w:p w14:paraId="2DBCAAC8" w14:textId="77777777" w:rsidR="00CB26A6" w:rsidRDefault="00CB26A6">
      <w:pPr>
        <w:contextualSpacing/>
        <w:jc w:val="both"/>
        <w:rPr>
          <w:b/>
          <w:color w:val="00B0F0"/>
        </w:rPr>
      </w:pPr>
    </w:p>
    <w:p w14:paraId="39F080F1" w14:textId="77777777" w:rsidR="00CB26A6" w:rsidRDefault="00000000">
      <w:pPr>
        <w:contextualSpacing/>
        <w:jc w:val="both"/>
        <w:rPr>
          <w:b/>
          <w:color w:val="00B0F0"/>
        </w:rPr>
      </w:pPr>
      <w:r>
        <w:rPr>
          <w:rFonts w:asciiTheme="minorHAnsi" w:eastAsiaTheme="minorHAnsi" w:hAnsiTheme="minorHAnsi" w:cstheme="minorHAnsi"/>
          <w:u w:val="single"/>
          <w:lang w:val="fr-FR" w:eastAsia="en-US"/>
        </w:rPr>
        <w:t>Un exemple de réponse</w:t>
      </w:r>
      <w:r>
        <w:rPr>
          <w:rFonts w:asciiTheme="minorHAnsi" w:eastAsiaTheme="minorHAnsi" w:hAnsiTheme="minorHAnsi" w:cstheme="minorHAnsi"/>
          <w:lang w:val="fr-FR" w:eastAsia="en-US"/>
        </w:rPr>
        <w:t> :</w:t>
      </w:r>
      <w:r>
        <w:rPr>
          <w:b/>
          <w:color w:val="00B0F0"/>
        </w:rPr>
        <w:t xml:space="preserve"> </w:t>
      </w:r>
    </w:p>
    <w:p w14:paraId="5A8F5F90" w14:textId="77777777" w:rsidR="00CB26A6" w:rsidRDefault="00000000">
      <w:pPr>
        <w:ind w:firstLine="720"/>
        <w:contextualSpacing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 xml:space="preserve">Nous observons que le chant des mâles </w:t>
      </w:r>
      <w:r>
        <w:rPr>
          <w:rFonts w:asciiTheme="minorHAnsi" w:eastAsia="Arial" w:hAnsiTheme="minorHAnsi" w:cstheme="minorHAnsi"/>
          <w:i/>
          <w:iCs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 est similaire d’un individu à l’autre : les phrases de ce chant contiennent deux syllabes comprenant chacune 3 notes de 1 seconde. Celui des mâles </w:t>
      </w:r>
      <w:r>
        <w:rPr>
          <w:rFonts w:asciiTheme="minorHAnsi" w:eastAsia="Arial" w:hAnsiTheme="minorHAnsi" w:cstheme="minorHAnsi"/>
          <w:i/>
          <w:iCs/>
          <w:color w:val="000000"/>
        </w:rPr>
        <w:t xml:space="preserve">Hyla versicolor </w:t>
      </w:r>
      <w:r>
        <w:rPr>
          <w:rFonts w:asciiTheme="minorHAnsi" w:eastAsia="Arial" w:hAnsiTheme="minorHAnsi" w:cstheme="minorHAnsi"/>
          <w:color w:val="000000"/>
        </w:rPr>
        <w:t>est quant à lui différent des précédents : chaque phrase est composée de 5 notes de 0,5s.</w:t>
      </w:r>
    </w:p>
    <w:p w14:paraId="4951F220" w14:textId="77777777" w:rsidR="00CB26A6" w:rsidRDefault="00000000">
      <w:pPr>
        <w:ind w:firstLine="720"/>
        <w:contextualSpacing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 xml:space="preserve">Or, nous savons que les femelles se reproduisent avec les mâles de la même espèce grâce à la reconnaissance du chant caractéristique de l’espèce. </w:t>
      </w:r>
    </w:p>
    <w:p w14:paraId="67C29528" w14:textId="77777777" w:rsidR="00CB26A6" w:rsidRDefault="00000000">
      <w:pPr>
        <w:ind w:firstLine="720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 xml:space="preserve">Ainsi, les femelles </w:t>
      </w:r>
      <w:r>
        <w:rPr>
          <w:rFonts w:asciiTheme="minorHAnsi" w:eastAsia="Arial" w:hAnsiTheme="minorHAnsi" w:cstheme="minorHAnsi"/>
          <w:i/>
          <w:iCs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 ne peuvent reconnaître que les phrases du chant des mâles </w:t>
      </w:r>
      <w:r>
        <w:rPr>
          <w:rFonts w:asciiTheme="minorHAnsi" w:eastAsia="Arial" w:hAnsiTheme="minorHAnsi" w:cstheme="minorHAnsi"/>
          <w:i/>
          <w:iCs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 pour se reproduire. Nous en déduisons que les femelles </w:t>
      </w:r>
      <w:r>
        <w:rPr>
          <w:rFonts w:asciiTheme="minorHAnsi" w:eastAsia="Arial" w:hAnsiTheme="minorHAnsi" w:cstheme="minorHAnsi"/>
          <w:i/>
          <w:iCs/>
          <w:color w:val="000000"/>
        </w:rPr>
        <w:t>Hyla versicolor</w:t>
      </w:r>
      <w:r>
        <w:rPr>
          <w:rFonts w:asciiTheme="minorHAnsi" w:eastAsia="Arial" w:hAnsiTheme="minorHAnsi" w:cstheme="minorHAnsi"/>
          <w:color w:val="000000"/>
        </w:rPr>
        <w:t xml:space="preserve"> ne peuvent pas reconnaître les phrases du chant des mâles </w:t>
      </w:r>
      <w:r>
        <w:rPr>
          <w:rFonts w:asciiTheme="minorHAnsi" w:eastAsia="Arial" w:hAnsiTheme="minorHAnsi" w:cstheme="minorHAnsi"/>
          <w:i/>
          <w:iCs/>
          <w:color w:val="000000"/>
        </w:rPr>
        <w:t>Hyla chrysoscelis</w:t>
      </w:r>
      <w:r>
        <w:rPr>
          <w:rFonts w:asciiTheme="minorHAnsi" w:eastAsia="Arial" w:hAnsiTheme="minorHAnsi" w:cstheme="minorHAnsi"/>
          <w:color w:val="000000"/>
        </w:rPr>
        <w:t xml:space="preserve">. La reproduction est donc impossible entre ces individus : ils font partie de deux espèces différentes. </w:t>
      </w:r>
    </w:p>
    <w:sectPr w:rsidR="00CB26A6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9D43" w14:textId="77777777" w:rsidR="00D4213A" w:rsidRDefault="00D4213A">
      <w:pPr>
        <w:spacing w:after="0" w:line="240" w:lineRule="auto"/>
      </w:pPr>
      <w:r>
        <w:separator/>
      </w:r>
    </w:p>
  </w:endnote>
  <w:endnote w:type="continuationSeparator" w:id="0">
    <w:p w14:paraId="3C8ABBAB" w14:textId="77777777" w:rsidR="00D4213A" w:rsidRDefault="00D42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4CF7" w14:textId="77777777" w:rsidR="00D4213A" w:rsidRDefault="00D4213A">
      <w:pPr>
        <w:spacing w:after="0" w:line="240" w:lineRule="auto"/>
      </w:pPr>
      <w:r>
        <w:separator/>
      </w:r>
    </w:p>
  </w:footnote>
  <w:footnote w:type="continuationSeparator" w:id="0">
    <w:p w14:paraId="3C5D2A81" w14:textId="77777777" w:rsidR="00D4213A" w:rsidRDefault="00D42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D0166"/>
    <w:multiLevelType w:val="multilevel"/>
    <w:tmpl w:val="1B7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D2805"/>
    <w:multiLevelType w:val="multilevel"/>
    <w:tmpl w:val="99AE1E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35B419D"/>
    <w:multiLevelType w:val="multilevel"/>
    <w:tmpl w:val="F59C1D6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448347E"/>
    <w:multiLevelType w:val="multilevel"/>
    <w:tmpl w:val="EA2C3A82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974795372">
    <w:abstractNumId w:val="2"/>
  </w:num>
  <w:num w:numId="2" w16cid:durableId="1446923637">
    <w:abstractNumId w:val="1"/>
  </w:num>
  <w:num w:numId="3" w16cid:durableId="1920408339">
    <w:abstractNumId w:val="3"/>
  </w:num>
  <w:num w:numId="4" w16cid:durableId="181058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6A6"/>
    <w:rsid w:val="0012783A"/>
    <w:rsid w:val="001A2CC5"/>
    <w:rsid w:val="00711A79"/>
    <w:rsid w:val="00C45BDB"/>
    <w:rsid w:val="00CB26A6"/>
    <w:rsid w:val="00D4213A"/>
    <w:rsid w:val="00F9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330A"/>
  <w15:docId w15:val="{B43F5CA6-E77B-4B8B-82C1-D349375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ansinterligne">
    <w:name w:val="No Spacing"/>
    <w:uiPriority w:val="1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ous-titre">
    <w:name w:val="Subtitle"/>
    <w:basedOn w:val="Normal"/>
    <w:next w:val="Normal"/>
    <w:link w:val="Sous-titre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3">
    <w:name w:val="StGen3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4">
    <w:name w:val="StGen4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5">
    <w:name w:val="StGen5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SFfg/ef5B4/CKWx92qVyX+b6A==">CgMxLjA4AHIhMVBkVDRiSlZjOC12MmcwQTZkTks4RjQzRFNXOFlLMEFL</go:docsCustomData>
</go:gDocsCustomXmlDataStorage>
</file>

<file path=customXml/itemProps1.xml><?xml version="1.0" encoding="utf-8"?>
<ds:datastoreItem xmlns:ds="http://schemas.openxmlformats.org/officeDocument/2006/customXml" ds:itemID="{1521CAB2-8505-4F89-A9D3-271C88D707AB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69</cp:revision>
  <dcterms:created xsi:type="dcterms:W3CDTF">2025-11-10T13:56:00Z</dcterms:created>
  <dcterms:modified xsi:type="dcterms:W3CDTF">2026-07-13T08:28:00Z</dcterms:modified>
</cp:coreProperties>
</file>