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765C0" w14:textId="77777777" w:rsidR="003A737D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L’impact des activités humaines sur le lynx ibérique (2)</w:t>
      </w:r>
    </w:p>
    <w:p w14:paraId="72674E57" w14:textId="77777777" w:rsidR="003A737D" w:rsidRDefault="003A737D"/>
    <w:p w14:paraId="00354669" w14:textId="77777777" w:rsidR="003A737D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 xml:space="preserve">Niveau de classe </w:t>
      </w:r>
      <w:r>
        <w:rPr>
          <w:rFonts w:cstheme="minorHAnsi"/>
        </w:rPr>
        <w:t xml:space="preserve">: seconde </w:t>
      </w:r>
    </w:p>
    <w:p w14:paraId="16DAE5B7" w14:textId="77777777" w:rsidR="003A737D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>Notion du BO travaillée</w:t>
      </w:r>
      <w:r>
        <w:rPr>
          <w:rFonts w:cstheme="minorHAnsi"/>
          <w:color w:val="00B0F0"/>
        </w:rPr>
        <w:t> </w:t>
      </w:r>
      <w:r>
        <w:rPr>
          <w:rFonts w:cstheme="minorHAnsi"/>
          <w:color w:val="000000" w:themeColor="text1"/>
        </w:rPr>
        <w:t xml:space="preserve">qui s’inscrit dans la thématique « La </w:t>
      </w:r>
      <w:r>
        <w:rPr>
          <w:rFonts w:cstheme="minorHAnsi"/>
        </w:rPr>
        <w:t>Terre, la Vie et l’organisation du vivant » &gt;&gt; « La biodiversité change au cours du temps » :</w:t>
      </w:r>
    </w:p>
    <w:p w14:paraId="66AB6077" w14:textId="77777777" w:rsidR="003A737D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De nombreux facteurs, dont l’activité humaine, provoquent des modifications de la biodiversité.</w:t>
      </w:r>
    </w:p>
    <w:p w14:paraId="57A0AC46" w14:textId="77777777" w:rsidR="003A737D" w:rsidRDefault="003A737D">
      <w:pPr>
        <w:spacing w:after="0" w:line="240" w:lineRule="auto"/>
        <w:jc w:val="both"/>
        <w:rPr>
          <w:rFonts w:cstheme="minorHAnsi"/>
        </w:rPr>
      </w:pPr>
    </w:p>
    <w:p w14:paraId="49FDCCD3" w14:textId="77777777" w:rsidR="003A737D" w:rsidRDefault="00000000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L’activité vise l’étude des responsabilités humaines sur le déclin des populations de lynx.</w:t>
      </w:r>
    </w:p>
    <w:p w14:paraId="28A79ADD" w14:textId="77777777" w:rsidR="003A737D" w:rsidRDefault="003A737D">
      <w:pPr>
        <w:pStyle w:val="Paragraphedeliste"/>
        <w:spacing w:after="0" w:line="240" w:lineRule="auto"/>
        <w:jc w:val="both"/>
        <w:rPr>
          <w:rFonts w:cstheme="minorHAnsi"/>
          <w:b/>
        </w:rPr>
      </w:pPr>
    </w:p>
    <w:p w14:paraId="40ECCC74" w14:textId="77777777" w:rsidR="003A737D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>Compétence travaillée dans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Interpréter des résultats et en tirer des conclusions</w:t>
      </w:r>
    </w:p>
    <w:p w14:paraId="576C5282" w14:textId="77777777" w:rsidR="003A737D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>Contexte de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 xml:space="preserve">: Cette activité peut faire suite à la présentation des résultats sous forme de graphique de l’évolution des populations de lynx ibérique au cours du temps. </w:t>
      </w:r>
    </w:p>
    <w:p w14:paraId="71A6334B" w14:textId="77777777" w:rsidR="003A737D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 xml:space="preserve">Contenu de l’activité </w:t>
      </w:r>
      <w:r>
        <w:rPr>
          <w:rFonts w:cstheme="minorHAnsi"/>
        </w:rPr>
        <w:t>:</w:t>
      </w:r>
    </w:p>
    <w:p w14:paraId="100ABDEF" w14:textId="77777777" w:rsidR="003A737D" w:rsidRDefault="00000000">
      <w:r>
        <w:rPr>
          <w:rFonts w:cstheme="minorHAnsi"/>
          <w:u w:val="single"/>
        </w:rPr>
        <w:t>Consigne </w:t>
      </w:r>
      <w:r>
        <w:rPr>
          <w:rFonts w:cstheme="minorHAnsi"/>
        </w:rPr>
        <w:t xml:space="preserve">: </w:t>
      </w:r>
      <w:r>
        <w:t xml:space="preserve">A partir du graphique et des ressources suivantes, </w:t>
      </w:r>
      <w:r>
        <w:rPr>
          <w:b/>
          <w:bCs/>
        </w:rPr>
        <w:t>interpréter les résultats</w:t>
      </w:r>
      <w:r>
        <w:t xml:space="preserve"> pour montrer que les activités humaines sont responsables des modifications de l’effectif de la population du lynx ibérique. </w:t>
      </w:r>
    </w:p>
    <w:p w14:paraId="07252CB4" w14:textId="77777777" w:rsidR="003A737D" w:rsidRDefault="00000000">
      <w:r>
        <w:rPr>
          <w:u w:val="single"/>
        </w:rPr>
        <w:t>Document 1 :</w:t>
      </w:r>
      <w:r>
        <w:t xml:space="preserve"> Résultats d’une étude sur le lynx</w:t>
      </w:r>
    </w:p>
    <w:p w14:paraId="3830B5AE" w14:textId="77777777" w:rsidR="003A737D" w:rsidRDefault="00000000">
      <w:r>
        <w:t xml:space="preserve">Des scientifiques ont estimé le nombre de lynx ibériques de 1960 à 2024. Les résultats sont les suivants : </w:t>
      </w:r>
    </w:p>
    <w:p w14:paraId="3FB6A835" w14:textId="77777777" w:rsidR="003A737D" w:rsidRDefault="00000000">
      <w:r>
        <w:rPr>
          <w:noProof/>
          <w14:ligatures w14:val="standardContextual"/>
        </w:rPr>
        <w:drawing>
          <wp:inline distT="0" distB="0" distL="0" distR="0" wp14:anchorId="0E230397" wp14:editId="704D7080">
            <wp:extent cx="6515100" cy="3400425"/>
            <wp:effectExtent l="0" t="0" r="0" b="952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D5FC47B" w14:textId="77777777" w:rsidR="003A737D" w:rsidRDefault="003A737D"/>
    <w:p w14:paraId="3E018A9C" w14:textId="77777777" w:rsidR="003A737D" w:rsidRDefault="00000000">
      <w:pPr>
        <w:rPr>
          <w:u w:val="single"/>
        </w:rPr>
      </w:pPr>
      <w:r>
        <w:rPr>
          <w:u w:val="single"/>
        </w:rPr>
        <w:t>Document 2 : Les causes de mortalité du lynx ibérique</w:t>
      </w:r>
    </w:p>
    <w:p w14:paraId="5C2F5A09" w14:textId="77777777" w:rsidR="003A737D" w:rsidRDefault="00000000">
      <w:r>
        <w:t>En 1980, les principales causes de mortalité du lynx ibérique étaient le piégeage (44 %) et les collisions avec les véhicules (7 %). Le lynx ibérique se nourrit à 80 % de lapins de garenne. Or, la population de lapins de garenne a diminué de 70 % entre 1973 et 1993 en raison de la surchasse et de maladies comme la myxomatose (maladie importée par l'être humain).</w:t>
      </w:r>
    </w:p>
    <w:p w14:paraId="1F9E0388" w14:textId="77777777" w:rsidR="003A737D" w:rsidRDefault="003A737D"/>
    <w:p w14:paraId="0BFA4057" w14:textId="77777777" w:rsidR="003A737D" w:rsidRDefault="00000000">
      <w:pPr>
        <w:rPr>
          <w:u w:val="single"/>
        </w:rPr>
      </w:pPr>
      <w:r>
        <w:rPr>
          <w:noProof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5E1C4A0" wp14:editId="21411E25">
                <wp:simplePos x="0" y="0"/>
                <wp:positionH relativeFrom="column">
                  <wp:posOffset>3730625</wp:posOffset>
                </wp:positionH>
                <wp:positionV relativeFrom="paragraph">
                  <wp:posOffset>0</wp:posOffset>
                </wp:positionV>
                <wp:extent cx="2823845" cy="1452880"/>
                <wp:effectExtent l="0" t="0" r="0" b="0"/>
                <wp:wrapTight wrapText="bothSides">
                  <wp:wrapPolygon edited="1">
                    <wp:start x="0" y="0"/>
                    <wp:lineTo x="0" y="21241"/>
                    <wp:lineTo x="21420" y="21241"/>
                    <wp:lineTo x="21420" y="0"/>
                    <wp:lineTo x="0" y="0"/>
                  </wp:wrapPolygon>
                </wp:wrapTight>
                <wp:docPr id="2" name="Image 1" descr="Une image contenant clipart, Graphique, mammifère, graphism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5436658" name="Image 1" descr="Une image contenant clipart, Graphique, mammifère, graphisme&#10;&#10;Le contenu généré par l’IA peut être incorrect."/>
                        <pic:cNvPicPr>
                          <a:picLocks noChangeAspect="1"/>
                        </pic:cNvPicPr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823845" cy="1452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1312;o:allowoverlap:true;o:allowincell:true;mso-position-horizontal-relative:text;margin-left:293.75pt;mso-position-horizontal:absolute;mso-position-vertical-relative:text;margin-top:0.00pt;mso-position-vertical:absolute;width:222.35pt;height:114.40pt;mso-wrap-distance-left:9.00pt;mso-wrap-distance-top:0.00pt;mso-wrap-distance-right:9.00pt;mso-wrap-distance-bottom:0.00pt;z-index:1;" wrapcoords="0 0 0 98338 99167 98338 99167 0 0 0" stroked="false">
                <w10:wrap type="tight"/>
                <v:imagedata r:id="rId10" o:title=""/>
                <o:lock v:ext="edit" rotation="t"/>
              </v:shape>
            </w:pict>
          </mc:Fallback>
        </mc:AlternateContent>
      </w:r>
      <w:r>
        <w:rPr>
          <w:u w:val="single"/>
        </w:rPr>
        <w:t xml:space="preserve">Document 2 : Projet </w:t>
      </w:r>
      <w:r>
        <w:rPr>
          <w:i/>
          <w:iCs/>
          <w:u w:val="single"/>
        </w:rPr>
        <w:t>Iberlince</w:t>
      </w:r>
      <w:r>
        <w:rPr>
          <w:u w:val="single"/>
        </w:rPr>
        <w:t xml:space="preserve"> en Andalousie </w:t>
      </w:r>
    </w:p>
    <w:p w14:paraId="1A830B78" w14:textId="77777777" w:rsidR="003A737D" w:rsidRDefault="00000000">
      <w:r>
        <w:t xml:space="preserve">L'Union européenne finance, depuis 2002, le projet </w:t>
      </w:r>
      <w:r>
        <w:rPr>
          <w:i/>
          <w:iCs/>
        </w:rPr>
        <w:t>Iberlince</w:t>
      </w:r>
      <w:r>
        <w:t xml:space="preserve"> pour la conservation du lynx ibérique en Andalousie.</w:t>
      </w:r>
      <w:r>
        <w:br/>
        <w:t>Ce projet comporte plusieurs volets :</w:t>
      </w:r>
    </w:p>
    <w:p w14:paraId="305BC779" w14:textId="77777777" w:rsidR="003A737D" w:rsidRDefault="00000000">
      <w:pPr>
        <w:numPr>
          <w:ilvl w:val="0"/>
          <w:numId w:val="2"/>
        </w:numPr>
      </w:pPr>
      <w:r>
        <w:rPr>
          <w:b/>
          <w:bCs/>
        </w:rPr>
        <w:t>Gestion durable de l'écosystème du lynx</w:t>
      </w:r>
      <w:r>
        <w:t xml:space="preserve"> : mise en place d'aires protégées, restauration de l'écosystème, réintroduction de lapins ;</w:t>
      </w:r>
    </w:p>
    <w:p w14:paraId="4C002E5E" w14:textId="77777777" w:rsidR="003A737D" w:rsidRDefault="00000000">
      <w:pPr>
        <w:numPr>
          <w:ilvl w:val="0"/>
          <w:numId w:val="2"/>
        </w:numPr>
      </w:pPr>
      <w:r>
        <w:rPr>
          <w:b/>
          <w:bCs/>
        </w:rPr>
        <w:t>Diminution de la mortalité non naturelle</w:t>
      </w:r>
      <w:r>
        <w:t xml:space="preserve"> : amélioration de la sécurité des routes (passages à faune et barrières), patrouilles de gardes forestiers, information des chasseurs ;</w:t>
      </w:r>
    </w:p>
    <w:p w14:paraId="3DFFBBF1" w14:textId="77777777" w:rsidR="003A737D" w:rsidRDefault="00000000">
      <w:pPr>
        <w:numPr>
          <w:ilvl w:val="0"/>
          <w:numId w:val="2"/>
        </w:numPr>
      </w:pPr>
      <w:r>
        <w:rPr>
          <w:b/>
          <w:bCs/>
        </w:rPr>
        <w:t>Amélioration de la diversité génétique du lynx</w:t>
      </w:r>
      <w:r>
        <w:t xml:space="preserve"> : échange d'individus entre populations, reproduction en captivité, création d'une banque génétique du lynx ibérique.</w:t>
      </w:r>
    </w:p>
    <w:p w14:paraId="16D9E6B1" w14:textId="77777777" w:rsidR="003A737D" w:rsidRDefault="003A737D"/>
    <w:p w14:paraId="4073DB7C" w14:textId="19D1FBE6" w:rsidR="003A737D" w:rsidRDefault="00000000">
      <w:r>
        <w:rPr>
          <w:b/>
          <w:color w:val="00B0F0"/>
        </w:rPr>
        <w:t xml:space="preserve">Critères de réussite de la compétence travaillée </w:t>
      </w:r>
      <w:r>
        <w:t xml:space="preserve">: </w:t>
      </w:r>
      <w:r w:rsidR="007B359D" w:rsidRPr="007B359D">
        <w:t>Interpréter des résultats et en tirer des conclusions.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3A737D" w14:paraId="27D8BB36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83CAEB" w:themeFill="accent1" w:themeFillTint="66"/>
          </w:tcPr>
          <w:p w14:paraId="37B7ECF4" w14:textId="77777777" w:rsidR="003A737D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 réussis si : </w:t>
            </w:r>
          </w:p>
          <w:p w14:paraId="260A1C5E" w14:textId="77777777" w:rsidR="003A737D" w:rsidRDefault="000000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83CAEB" w:themeFill="accent1" w:themeFillTint="66"/>
          </w:tcPr>
          <w:p w14:paraId="6CEEFFD0" w14:textId="77777777" w:rsidR="003A737D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</w:tr>
      <w:tr w:rsidR="003A737D" w14:paraId="1A3D744A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C8C7" w14:textId="77777777" w:rsidR="003A737D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 xml:space="preserve">: </w:t>
            </w:r>
            <w:r>
              <w:rPr>
                <w14:ligatures w14:val="standardContextual"/>
              </w:rPr>
              <w:t xml:space="preserve">Mon interprétation permet de </w:t>
            </w:r>
            <w:r>
              <w:rPr>
                <w:b/>
                <w14:ligatures w14:val="standardContextual"/>
              </w:rPr>
              <w:t>valider ou de réfuter l’hypothèse testée</w:t>
            </w:r>
            <w:r>
              <w:rPr>
                <w14:ligatures w14:val="standardContextual"/>
              </w:rPr>
              <w:t xml:space="preserve"> et donc de répondre au problème posé.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630B" w14:textId="77777777" w:rsidR="003A737D" w:rsidRDefault="003A73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37D" w14:paraId="1C407631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05D0" w14:textId="77777777" w:rsidR="003A737D" w:rsidRDefault="00000000">
            <w:pPr>
              <w:pStyle w:val="TableParagraph"/>
              <w:tabs>
                <w:tab w:val="left" w:pos="805"/>
              </w:tabs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</w:t>
            </w:r>
            <w:r>
              <w:rPr>
                <w:rFonts w:cstheme="minorHAnsi"/>
              </w:rPr>
              <w:t xml:space="preserve">: Mon interprétation précise : </w:t>
            </w:r>
          </w:p>
          <w:p w14:paraId="0322C89E" w14:textId="77777777" w:rsidR="003A737D" w:rsidRDefault="00000000">
            <w:pPr>
              <w:pStyle w:val="TableParagraph"/>
              <w:tabs>
                <w:tab w:val="left" w:pos="805"/>
              </w:tabs>
              <w:spacing w:line="260" w:lineRule="exact"/>
            </w:pPr>
            <w:r>
              <w:rPr>
                <w:rFonts w:cstheme="minorHAnsi"/>
              </w:rPr>
              <w:t xml:space="preserve">- </w:t>
            </w:r>
            <w:r>
              <w:rPr>
                <w:b/>
              </w:rPr>
              <w:t>«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observe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»</w:t>
            </w:r>
            <w:r>
              <w:rPr>
                <w:b/>
                <w:spacing w:val="-5"/>
              </w:rPr>
              <w:t xml:space="preserve"> : </w:t>
            </w:r>
            <w:r>
              <w:t>présentation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l’ensemble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résultats.</w:t>
            </w:r>
          </w:p>
          <w:p w14:paraId="687716E2" w14:textId="77777777" w:rsidR="003A737D" w:rsidRDefault="00000000">
            <w:pPr>
              <w:pStyle w:val="TableParagraph"/>
              <w:tabs>
                <w:tab w:val="left" w:pos="805"/>
              </w:tabs>
              <w:spacing w:before="2" w:line="232" w:lineRule="auto"/>
              <w:ind w:right="82"/>
            </w:pPr>
            <w:r>
              <w:rPr>
                <w:b/>
              </w:rPr>
              <w:t>- «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»</w:t>
            </w:r>
            <w:r>
              <w:rPr>
                <w:b/>
                <w:spacing w:val="-5"/>
              </w:rPr>
              <w:t xml:space="preserve"> : </w:t>
            </w:r>
            <w:r>
              <w:t>ajout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notions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connaissances/ressources</w:t>
            </w:r>
            <w:r>
              <w:rPr>
                <w:spacing w:val="-5"/>
              </w:rPr>
              <w:t xml:space="preserve"> </w:t>
            </w:r>
            <w:r>
              <w:t>et/ou</w:t>
            </w:r>
            <w:r>
              <w:rPr>
                <w:spacing w:val="-5"/>
              </w:rPr>
              <w:t xml:space="preserve"> </w:t>
            </w:r>
            <w:r>
              <w:t>mise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situation, adaptées à l’interprétation.</w:t>
            </w:r>
          </w:p>
          <w:p w14:paraId="3BB5D2DE" w14:textId="77777777" w:rsidR="003A737D" w:rsidRDefault="00000000">
            <w:pPr>
              <w:rPr>
                <w:rFonts w:cstheme="minorHAnsi"/>
              </w:rPr>
            </w:pPr>
            <w:r>
              <w:rPr>
                <w:b/>
              </w:rPr>
              <w:t>- «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l’on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conclut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»</w:t>
            </w:r>
            <w:r>
              <w:rPr>
                <w:b/>
                <w:spacing w:val="-3"/>
              </w:rPr>
              <w:t xml:space="preserve"> : </w:t>
            </w:r>
            <w:r>
              <w:t>mise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relation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résultats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notions</w:t>
            </w:r>
            <w:r>
              <w:rPr>
                <w:spacing w:val="-3"/>
              </w:rPr>
              <w:t xml:space="preserve"> </w:t>
            </w:r>
            <w:r>
              <w:t>pour</w:t>
            </w:r>
            <w:r>
              <w:rPr>
                <w:spacing w:val="-3"/>
              </w:rPr>
              <w:t xml:space="preserve"> </w:t>
            </w:r>
            <w:r>
              <w:t>répondre</w:t>
            </w:r>
            <w:r>
              <w:rPr>
                <w:spacing w:val="-4"/>
              </w:rPr>
              <w:t xml:space="preserve"> </w:t>
            </w:r>
            <w:r>
              <w:t>au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problème.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554E" w14:textId="77777777" w:rsidR="003A737D" w:rsidRDefault="003A73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37D" w14:paraId="7C7D6658" w14:textId="77777777">
        <w:trPr>
          <w:trHeight w:val="113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FC02" w14:textId="77777777" w:rsidR="003A737D" w:rsidRDefault="00000000">
            <w:pPr>
              <w:pStyle w:val="TableParagraph"/>
              <w:ind w:left="85"/>
              <w:rPr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>EXACTITUDE 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rigoureux</w:t>
            </w:r>
          </w:p>
          <w:p w14:paraId="3D8ABA22" w14:textId="77777777" w:rsidR="003A73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>quantification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données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possible.</w:t>
            </w:r>
          </w:p>
          <w:p w14:paraId="0E13894A" w14:textId="77777777" w:rsidR="003A73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>vocabulaire</w:t>
            </w:r>
            <w:r>
              <w:rPr>
                <w:spacing w:val="-7"/>
              </w:rPr>
              <w:t xml:space="preserve"> </w:t>
            </w:r>
            <w:r>
              <w:t>scientifique</w:t>
            </w:r>
            <w:r>
              <w:rPr>
                <w:spacing w:val="-7"/>
              </w:rPr>
              <w:t xml:space="preserve"> </w:t>
            </w:r>
            <w:r>
              <w:t>exact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précis.</w:t>
            </w:r>
          </w:p>
          <w:p w14:paraId="1E8694AE" w14:textId="77777777" w:rsidR="003A73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t>sans</w:t>
            </w:r>
            <w:r>
              <w:rPr>
                <w:spacing w:val="-5"/>
              </w:rPr>
              <w:t xml:space="preserve"> </w:t>
            </w:r>
            <w:r>
              <w:t>déformation</w:t>
            </w:r>
            <w:r>
              <w:rPr>
                <w:spacing w:val="-3"/>
              </w:rPr>
              <w:t xml:space="preserve"> </w:t>
            </w:r>
            <w:r>
              <w:t>ni</w:t>
            </w:r>
            <w:r>
              <w:rPr>
                <w:spacing w:val="-4"/>
              </w:rPr>
              <w:t xml:space="preserve"> </w:t>
            </w:r>
            <w:r>
              <w:t>erreur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lecture.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4EA" w14:textId="77777777" w:rsidR="003A737D" w:rsidRDefault="003A73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37D" w14:paraId="521DAB7B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26CA" w14:textId="77777777" w:rsidR="003A737D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t>J’ai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structuré</w:t>
            </w:r>
            <w:r>
              <w:rPr>
                <w:b/>
                <w:spacing w:val="-5"/>
              </w:rPr>
              <w:t xml:space="preserve"> </w:t>
            </w:r>
            <w:r>
              <w:t>mon</w:t>
            </w:r>
            <w:r>
              <w:rPr>
                <w:spacing w:val="-3"/>
              </w:rPr>
              <w:t xml:space="preserve"> </w:t>
            </w:r>
            <w:r>
              <w:t>écrit</w:t>
            </w:r>
            <w:r>
              <w:rPr>
                <w:spacing w:val="-4"/>
              </w:rPr>
              <w:t xml:space="preserve"> </w:t>
            </w:r>
            <w:r>
              <w:t>afin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faciliter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compréhension : j’ai mis en relation les 3 parties de mon interprétation par des connecteurs logiques.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815" w14:textId="77777777" w:rsidR="003A737D" w:rsidRDefault="003A73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85CF5" w14:textId="77777777" w:rsidR="003A737D" w:rsidRDefault="003A737D"/>
    <w:sectPr w:rsidR="003A737D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573FE" w14:textId="77777777" w:rsidR="00A56181" w:rsidRDefault="00A56181">
      <w:pPr>
        <w:spacing w:after="0" w:line="240" w:lineRule="auto"/>
      </w:pPr>
      <w:r>
        <w:separator/>
      </w:r>
    </w:p>
  </w:endnote>
  <w:endnote w:type="continuationSeparator" w:id="0">
    <w:p w14:paraId="4D567938" w14:textId="77777777" w:rsidR="00A56181" w:rsidRDefault="00A5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E5CFC" w14:textId="77777777" w:rsidR="00A56181" w:rsidRDefault="00A56181">
      <w:pPr>
        <w:spacing w:after="0" w:line="240" w:lineRule="auto"/>
      </w:pPr>
      <w:r>
        <w:separator/>
      </w:r>
    </w:p>
  </w:footnote>
  <w:footnote w:type="continuationSeparator" w:id="0">
    <w:p w14:paraId="5C09374C" w14:textId="77777777" w:rsidR="00A56181" w:rsidRDefault="00A56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6EB0"/>
    <w:multiLevelType w:val="multilevel"/>
    <w:tmpl w:val="D4B850C4"/>
    <w:lvl w:ilvl="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53F11"/>
    <w:multiLevelType w:val="multilevel"/>
    <w:tmpl w:val="54521E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1B2A"/>
    <w:multiLevelType w:val="multilevel"/>
    <w:tmpl w:val="0324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BC61E6"/>
    <w:multiLevelType w:val="multilevel"/>
    <w:tmpl w:val="91C60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8347E"/>
    <w:multiLevelType w:val="multilevel"/>
    <w:tmpl w:val="5B8C8786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774906258">
    <w:abstractNumId w:val="0"/>
  </w:num>
  <w:num w:numId="2" w16cid:durableId="763455991">
    <w:abstractNumId w:val="2"/>
  </w:num>
  <w:num w:numId="3" w16cid:durableId="2087529672">
    <w:abstractNumId w:val="3"/>
  </w:num>
  <w:num w:numId="4" w16cid:durableId="438111223">
    <w:abstractNumId w:val="4"/>
  </w:num>
  <w:num w:numId="5" w16cid:durableId="1844514012">
    <w:abstractNumId w:val="1"/>
  </w:num>
  <w:num w:numId="6" w16cid:durableId="1027558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37D"/>
    <w:rsid w:val="003A737D"/>
    <w:rsid w:val="007B359D"/>
    <w:rsid w:val="00A56181"/>
    <w:rsid w:val="00B8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4790"/>
  <w15:docId w15:val="{77215F7D-61A3-46EE-A091-C71B0E53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0F4761" w:themeColor="accent1" w:themeShade="BF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6607D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E:/Act%20inspection/lynx%20ib&#233;riqu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Graphique représentant l'évolution de l'effectif du lynx ibérique en fonction du temps</a:t>
            </a:r>
          </a:p>
        </c:rich>
      </c:tx>
      <c:overlay val="0"/>
      <c:spPr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Feuil1!$B$2</c:f>
              <c:strCache>
                <c:ptCount val="1"/>
                <c:pt idx="0">
                  <c:v>Effectif</c:v>
                </c:pt>
              </c:strCache>
            </c:strRef>
          </c:tx>
          <c:spPr bwMode="auto">
            <a:prstGeom prst="rect">
              <a:avLst/>
            </a:prstGeom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 bwMode="auto">
              <a:prstGeom prst="rect">
                <a:avLst/>
              </a:prstGeom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Feuil1!$A$3:$A$17</c:f>
              <c:numCache>
                <c:formatCode>General</c:formatCode>
                <c:ptCount val="15"/>
                <c:pt idx="0">
                  <c:v>1960</c:v>
                </c:pt>
                <c:pt idx="1">
                  <c:v>1980</c:v>
                </c:pt>
                <c:pt idx="2">
                  <c:v>2002</c:v>
                </c:pt>
                <c:pt idx="3">
                  <c:v>2004</c:v>
                </c:pt>
                <c:pt idx="4">
                  <c:v>2006</c:v>
                </c:pt>
                <c:pt idx="5">
                  <c:v>2008</c:v>
                </c:pt>
                <c:pt idx="6">
                  <c:v>2010</c:v>
                </c:pt>
                <c:pt idx="7">
                  <c:v>2012</c:v>
                </c:pt>
                <c:pt idx="8">
                  <c:v>2014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  <c:pt idx="12">
                  <c:v>2020</c:v>
                </c:pt>
                <c:pt idx="13">
                  <c:v>2022</c:v>
                </c:pt>
                <c:pt idx="14">
                  <c:v>2024</c:v>
                </c:pt>
              </c:numCache>
            </c:numRef>
          </c:xVal>
          <c:yVal>
            <c:numRef>
              <c:f>Feuil1!$B$3:$B$17</c:f>
              <c:numCache>
                <c:formatCode>General</c:formatCode>
                <c:ptCount val="15"/>
                <c:pt idx="0">
                  <c:v>5000</c:v>
                </c:pt>
                <c:pt idx="1">
                  <c:v>1010</c:v>
                </c:pt>
                <c:pt idx="2">
                  <c:v>94</c:v>
                </c:pt>
                <c:pt idx="3">
                  <c:v>135</c:v>
                </c:pt>
                <c:pt idx="4">
                  <c:v>170</c:v>
                </c:pt>
                <c:pt idx="5">
                  <c:v>205</c:v>
                </c:pt>
                <c:pt idx="6">
                  <c:v>275</c:v>
                </c:pt>
                <c:pt idx="7">
                  <c:v>320</c:v>
                </c:pt>
                <c:pt idx="8">
                  <c:v>335</c:v>
                </c:pt>
                <c:pt idx="9">
                  <c:v>390</c:v>
                </c:pt>
                <c:pt idx="10">
                  <c:v>450</c:v>
                </c:pt>
                <c:pt idx="11">
                  <c:v>1111</c:v>
                </c:pt>
                <c:pt idx="12">
                  <c:v>1365</c:v>
                </c:pt>
                <c:pt idx="13">
                  <c:v>1668</c:v>
                </c:pt>
                <c:pt idx="14">
                  <c:v>2401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A45-4325-AAFD-5A4D4B718C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02247919"/>
        <c:axId val="2002251279"/>
      </c:scatterChart>
      <c:valAx>
        <c:axId val="200224791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Années</a:t>
                </a:r>
              </a:p>
            </c:rich>
          </c:tx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002251279"/>
        <c:crosses val="autoZero"/>
        <c:crossBetween val="midCat"/>
      </c:valAx>
      <c:valAx>
        <c:axId val="2002251279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Effectif</a:t>
                </a:r>
              </a:p>
            </c:rich>
          </c:tx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002247919"/>
        <c:crosses val="autoZero"/>
        <c:crossBetween val="midCat"/>
      </c:valAx>
      <c:spPr>
        <a:prstGeom prst="rect">
          <a:avLst/>
        </a:prstGeom>
        <a:noFill/>
        <a:ln>
          <a:noFill/>
        </a:ln>
        <a:effectLst/>
      </c:spPr>
    </c:plotArea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1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 bwMode="auto">
      <a:prstGeom prst="rect">
        <a:avLst/>
      </a:prstGeom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 bwMode="auto">
      <a:prstGeom prst="rect">
        <a:avLst/>
      </a:prstGeom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 bwMode="auto">
      <a:prstGeom prst="rect">
        <a:avLst/>
      </a:prstGeom>
      <a:ln w="9525">
        <a:solidFill>
          <a:schemeClr val="phClr"/>
        </a:solidFill>
      </a:ln>
    </cs:spPr>
  </cs:dataPointMarker>
  <cs:dataPointMarkerLayout/>
  <cs:dataPointWireframe>
    <cs:lnRef idx="0">
      <cs:styleClr val="auto"/>
    </cs:lnRef>
    <cs:fillRef idx="0"/>
    <cs:effectRef idx="0"/>
    <cs:fontRef idx="minor">
      <a:schemeClr val="dk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dataTable>
  <cs:downBar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spc="0"/>
  </cs:title>
  <cs:trendline>
    <cs:lnRef idx="0">
      <cs:styleClr val="auto"/>
    </cs:lnRef>
    <cs:fillRef idx="0"/>
    <cs:effectRef idx="0"/>
    <cs:fontRef idx="minor">
      <a:schemeClr val="tx1"/>
    </cs:fontRef>
    <cs:spPr bwMode="auto">
      <a:prstGeom prst="rect">
        <a:avLst/>
      </a:prstGeom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/>
  </cs:valueAxis>
  <cs:wall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ARAUJO</dc:creator>
  <cp:keywords/>
  <dc:description/>
  <cp:lastModifiedBy>Manuella Van-Praet</cp:lastModifiedBy>
  <cp:revision>7</cp:revision>
  <dcterms:created xsi:type="dcterms:W3CDTF">2026-05-20T13:06:00Z</dcterms:created>
  <dcterms:modified xsi:type="dcterms:W3CDTF">2026-07-13T08:21:00Z</dcterms:modified>
</cp:coreProperties>
</file>