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C5B9" w14:textId="77777777" w:rsidR="000D29E9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Prélèvement de l’eau et des sels minéraux</w:t>
      </w:r>
    </w:p>
    <w:p w14:paraId="2FA82087" w14:textId="77777777" w:rsidR="000D29E9" w:rsidRDefault="00000000">
      <w:pPr>
        <w:jc w:val="both"/>
      </w:pPr>
      <w:r>
        <w:rPr>
          <w:b/>
          <w:color w:val="00B0F0"/>
        </w:rPr>
        <w:t>Niveau de classe ou cycle</w:t>
      </w:r>
      <w:r>
        <w:rPr>
          <w:color w:val="00B0F0"/>
        </w:rPr>
        <w:t> </w:t>
      </w:r>
      <w:r>
        <w:t>: cycle 4 (5</w:t>
      </w:r>
      <w:r>
        <w:rPr>
          <w:vertAlign w:val="superscript"/>
        </w:rPr>
        <w:t>ème</w:t>
      </w:r>
      <w:r>
        <w:t>)</w:t>
      </w:r>
    </w:p>
    <w:p w14:paraId="5FF4A5BF" w14:textId="77777777" w:rsidR="000D29E9" w:rsidRDefault="00000000">
      <w:pPr>
        <w:jc w:val="both"/>
      </w:pPr>
      <w:r>
        <w:rPr>
          <w:b/>
          <w:color w:val="00B0F0"/>
        </w:rPr>
        <w:t>Notion du BO travaillée</w:t>
      </w:r>
      <w:r>
        <w:rPr>
          <w:color w:val="00B0F0"/>
        </w:rPr>
        <w:t> </w:t>
      </w:r>
      <w:r>
        <w:t>qui s’inscrit dans « Le vivant et son évolution » &gt;&gt; « Relier les besoins des cellules d'une plante chlorophyllienne, les lieux de production ou de prélèvement de matière et de stockage et les systèmes de transport au sein de la plante. » </w:t>
      </w:r>
    </w:p>
    <w:p w14:paraId="47876DE6" w14:textId="77777777" w:rsidR="000D29E9" w:rsidRDefault="00000000">
      <w:pPr>
        <w:jc w:val="both"/>
        <w:rPr>
          <w:b/>
          <w:color w:val="00B0F0"/>
        </w:rPr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>: Interpréter des résultats et en tirer une conclusion</w:t>
      </w:r>
    </w:p>
    <w:p w14:paraId="318FDE68" w14:textId="77777777" w:rsidR="000D29E9" w:rsidRDefault="00000000">
      <w:pPr>
        <w:jc w:val="both"/>
      </w:pPr>
      <w:r>
        <w:rPr>
          <w:b/>
          <w:color w:val="00B0F0"/>
        </w:rPr>
        <w:t xml:space="preserve">Contexte de l’activité : </w:t>
      </w:r>
      <w:r>
        <w:t xml:space="preserve">Les besoins en eau et en sels minéraux des plantes ont été identifiés. </w:t>
      </w:r>
      <w:r>
        <w:rPr>
          <w:bCs/>
        </w:rPr>
        <w:t>On se demande quelle</w:t>
      </w:r>
      <w:r>
        <w:t xml:space="preserve"> partie de la plante absorbe l’eau et les sels minéraux dont la plante a besoin pour vivre. </w:t>
      </w:r>
    </w:p>
    <w:p w14:paraId="77540B0D" w14:textId="77777777" w:rsidR="000D29E9" w:rsidRDefault="00000000">
      <w:pPr>
        <w:jc w:val="both"/>
      </w:pPr>
      <w:r>
        <w:rPr>
          <w:b/>
          <w:color w:val="00B0F0"/>
        </w:rPr>
        <w:t xml:space="preserve">Contenu de l’activité </w:t>
      </w:r>
      <w:r>
        <w:t>:</w:t>
      </w:r>
    </w:p>
    <w:p w14:paraId="6E38F8AB" w14:textId="77777777" w:rsidR="000D29E9" w:rsidRDefault="00000000">
      <w:pPr>
        <w:jc w:val="both"/>
        <w:rPr>
          <w:bCs/>
          <w:u w:val="single"/>
        </w:rPr>
      </w:pPr>
      <w:r>
        <w:rPr>
          <w:bCs/>
          <w:u w:val="single"/>
        </w:rPr>
        <w:t>Consignes :</w:t>
      </w:r>
    </w:p>
    <w:p w14:paraId="1AA89735" w14:textId="77777777" w:rsidR="000D29E9" w:rsidRDefault="00000000">
      <w:pPr>
        <w:jc w:val="both"/>
        <w:rPr>
          <w:bCs/>
        </w:rPr>
      </w:pPr>
      <w:r>
        <w:rPr>
          <w:b/>
        </w:rPr>
        <w:t>Interpréter les résultats</w:t>
      </w:r>
      <w:r>
        <w:rPr>
          <w:bCs/>
        </w:rPr>
        <w:t xml:space="preserve"> observés et </w:t>
      </w:r>
      <w:r>
        <w:rPr>
          <w:b/>
        </w:rPr>
        <w:t>tirer des conclusions</w:t>
      </w:r>
      <w:r>
        <w:rPr>
          <w:bCs/>
        </w:rPr>
        <w:t xml:space="preserve"> pour identifier le lieu d’absorption de l’eau et des sels minéraux par la racine. </w:t>
      </w:r>
    </w:p>
    <w:p w14:paraId="50BD930F" w14:textId="77777777" w:rsidR="000D29E9" w:rsidRDefault="00000000">
      <w:pPr>
        <w:jc w:val="both"/>
        <w:rPr>
          <w:u w:val="single"/>
        </w:rPr>
      </w:pPr>
      <w:r>
        <w:rPr>
          <w:bCs/>
          <w:u w:val="single"/>
        </w:rPr>
        <w:t>Document 1 : une jeune plante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091"/>
        <w:gridCol w:w="5375"/>
      </w:tblGrid>
      <w:tr w:rsidR="000D29E9" w14:paraId="5466E091" w14:textId="77777777"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14:paraId="13BF993E" w14:textId="77777777" w:rsidR="000D29E9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826C31" wp14:editId="6E7D9008">
                      <wp:extent cx="1945640" cy="2889885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13494670" name="Imag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96DAC541-7B7A-43D3-8B79-37D633B846F1}">
                                    <asvg:svgBlip xmlns:asvg="http://schemas.microsoft.com/office/drawing/2016/SVG/main" r:embed="rId8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45639" cy="288988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53.20pt;height:227.55pt;mso-wrap-distance-left:0.00pt;mso-wrap-distance-top:0.00pt;mso-wrap-distance-right:0.00pt;mso-wrap-distance-bottom:0.00pt;rotation:0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</w:p>
          <w:p w14:paraId="38669D7D" w14:textId="77777777" w:rsidR="000D29E9" w:rsidRDefault="00000000">
            <w:pPr>
              <w:jc w:val="right"/>
            </w:pPr>
            <w:r>
              <w:rPr>
                <w:bCs/>
                <w:i/>
                <w:iCs/>
              </w:rPr>
              <w:t>Photographie de Hervé Conge, manuel édition Hatier p. 144</w:t>
            </w: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4A691" w14:textId="77777777" w:rsidR="000D29E9" w:rsidRDefault="00000000">
            <w:pPr>
              <w:jc w:val="both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Lors de la germination, une jeune plante, appelée plantule, se développe à partir de la graine. En quelques jours, une zone de la racine se couvre de poils absorbants.</w:t>
            </w:r>
          </w:p>
        </w:tc>
      </w:tr>
    </w:tbl>
    <w:p w14:paraId="09C1F6FE" w14:textId="77777777" w:rsidR="000D29E9" w:rsidRDefault="00000000">
      <w:pPr>
        <w:rPr>
          <w:u w:val="single"/>
        </w:rPr>
      </w:pPr>
      <w:r>
        <w:rPr>
          <w:u w:val="single"/>
        </w:rPr>
        <w:br w:type="page" w:clear="all"/>
      </w:r>
    </w:p>
    <w:p w14:paraId="712D195B" w14:textId="77777777" w:rsidR="000D29E9" w:rsidRDefault="00000000">
      <w:pPr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lastRenderedPageBreak/>
        <w:t>Document 2 :</w:t>
      </w:r>
      <w:r>
        <w:rPr>
          <w:color w:val="000000" w:themeColor="text1"/>
        </w:rPr>
        <w:t xml:space="preserve"> Expérience permettant de mettre en évidence la zone d’absorption de l’eau et des sels minéraux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0D29E9" w14:paraId="53488EA3" w14:textId="77777777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6A32A2E7" w14:textId="77777777" w:rsidR="000D29E9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0B62E3" wp14:editId="69DD9287">
                      <wp:extent cx="1461135" cy="4069080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5654502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61134" cy="40690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15.05pt;height:320.40pt;mso-wrap-distance-left:0.00pt;mso-wrap-distance-top:0.00pt;mso-wrap-distance-right:0.00pt;mso-wrap-distance-bottom:0.00pt;rotation:0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</w:p>
          <w:p w14:paraId="33A07905" w14:textId="77777777" w:rsidR="000D29E9" w:rsidRDefault="00000000">
            <w:pPr>
              <w:spacing w:after="0" w:line="240" w:lineRule="auto"/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Source du document 2 (ajout des mentions « témoin » ; « test 1 » et « test 2 ») : manuel bordas, seconde, édition 993</w:t>
            </w:r>
          </w:p>
          <w:p w14:paraId="2E4F8D62" w14:textId="77777777" w:rsidR="000D29E9" w:rsidRDefault="000D29E9">
            <w:pPr>
              <w:jc w:val="right"/>
              <w:rPr>
                <w:b/>
                <w:bCs/>
                <w:color w:val="00B0F0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3CEFB6E7" w14:textId="77777777" w:rsidR="000D29E9" w:rsidRDefault="00000000">
            <w:pPr>
              <w:jc w:val="both"/>
              <w:rPr>
                <w:b/>
                <w:bCs/>
                <w:color w:val="00B0F0"/>
              </w:rPr>
            </w:pPr>
            <w:r>
              <w:rPr>
                <w:color w:val="000000" w:themeColor="text1"/>
              </w:rPr>
              <w:t>Les sels minéraux étant dissous dans l’eau, une plante qui prélève de l’eau prélève aussi des sels minéraux. L’huile ne se mélange pas à l’eau et empêche toute absorption d’eau. Une plante qui n’absorbe pas assez d’eau fane</w:t>
            </w:r>
            <w:r>
              <w:rPr>
                <w:b/>
                <w:bCs/>
                <w:color w:val="00B0F0"/>
              </w:rPr>
              <w:t>.</w:t>
            </w:r>
          </w:p>
        </w:tc>
      </w:tr>
    </w:tbl>
    <w:p w14:paraId="2194F170" w14:textId="77777777" w:rsidR="000D29E9" w:rsidRDefault="000D29E9">
      <w:pPr>
        <w:jc w:val="both"/>
        <w:rPr>
          <w:b/>
          <w:color w:val="00B0F0"/>
        </w:rPr>
      </w:pPr>
    </w:p>
    <w:p w14:paraId="69FF1094" w14:textId="77777777" w:rsidR="000D29E9" w:rsidRDefault="000D29E9">
      <w:pPr>
        <w:jc w:val="both"/>
        <w:rPr>
          <w:b/>
          <w:color w:val="00B0F0"/>
        </w:rPr>
      </w:pPr>
    </w:p>
    <w:p w14:paraId="792BF520" w14:textId="77777777" w:rsidR="000D29E9" w:rsidRDefault="000D29E9">
      <w:pPr>
        <w:jc w:val="both"/>
        <w:rPr>
          <w:b/>
          <w:color w:val="00B0F0"/>
        </w:rPr>
      </w:pPr>
    </w:p>
    <w:p w14:paraId="2667B407" w14:textId="77777777" w:rsidR="000D29E9" w:rsidRDefault="000D29E9">
      <w:pPr>
        <w:jc w:val="both"/>
        <w:rPr>
          <w:b/>
          <w:color w:val="00B0F0"/>
        </w:rPr>
      </w:pPr>
    </w:p>
    <w:p w14:paraId="73723D7E" w14:textId="77777777" w:rsidR="000D29E9" w:rsidRDefault="000D29E9">
      <w:pPr>
        <w:jc w:val="both"/>
        <w:rPr>
          <w:b/>
          <w:color w:val="00B0F0"/>
        </w:rPr>
      </w:pPr>
    </w:p>
    <w:p w14:paraId="00ADF986" w14:textId="77777777" w:rsidR="000D29E9" w:rsidRDefault="000D29E9">
      <w:pPr>
        <w:jc w:val="both"/>
        <w:rPr>
          <w:b/>
          <w:color w:val="00B0F0"/>
        </w:rPr>
      </w:pPr>
    </w:p>
    <w:p w14:paraId="2D4A28C7" w14:textId="77777777" w:rsidR="000D29E9" w:rsidRDefault="000D29E9">
      <w:pPr>
        <w:jc w:val="both"/>
        <w:rPr>
          <w:b/>
          <w:color w:val="00B0F0"/>
        </w:rPr>
      </w:pPr>
    </w:p>
    <w:p w14:paraId="110B1C62" w14:textId="77777777" w:rsidR="000D29E9" w:rsidRDefault="000D29E9">
      <w:pPr>
        <w:jc w:val="both"/>
        <w:rPr>
          <w:b/>
          <w:color w:val="00B0F0"/>
        </w:rPr>
      </w:pPr>
    </w:p>
    <w:p w14:paraId="724CA285" w14:textId="77777777" w:rsidR="000D29E9" w:rsidRDefault="000D29E9">
      <w:pPr>
        <w:jc w:val="both"/>
        <w:rPr>
          <w:b/>
          <w:color w:val="00B0F0"/>
        </w:rPr>
      </w:pPr>
    </w:p>
    <w:p w14:paraId="0103B262" w14:textId="77777777" w:rsidR="000D29E9" w:rsidRDefault="000D29E9">
      <w:pPr>
        <w:jc w:val="both"/>
        <w:rPr>
          <w:b/>
          <w:color w:val="00B0F0"/>
        </w:rPr>
      </w:pPr>
    </w:p>
    <w:p w14:paraId="05DEFE3F" w14:textId="77777777" w:rsidR="000D29E9" w:rsidRDefault="000D29E9">
      <w:pPr>
        <w:jc w:val="both"/>
        <w:rPr>
          <w:b/>
          <w:color w:val="00B0F0"/>
        </w:rPr>
      </w:pPr>
    </w:p>
    <w:p w14:paraId="56CC638B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7A13BAB8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61EF2305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2E1F7286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07795440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54A1DF5C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6102AA88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3E5502A4" w14:textId="77777777" w:rsidR="000D29E9" w:rsidRDefault="000D29E9">
      <w:pPr>
        <w:spacing w:after="0" w:line="240" w:lineRule="auto"/>
        <w:jc w:val="both"/>
        <w:rPr>
          <w:bCs/>
          <w:i/>
        </w:rPr>
      </w:pPr>
    </w:p>
    <w:p w14:paraId="5E53223F" w14:textId="77777777" w:rsidR="000D29E9" w:rsidRDefault="00000000">
      <w:pPr>
        <w:jc w:val="both"/>
      </w:pPr>
      <w:r>
        <w:rPr>
          <w:b/>
          <w:color w:val="00B0F0"/>
        </w:rPr>
        <w:lastRenderedPageBreak/>
        <w:t>Critères de réussite de la compétence travaillée (sous la forme de tableau – reprendre le tableau de critères du livret de compétences fourni)</w:t>
      </w:r>
      <w:r>
        <w:t xml:space="preserve"> : </w:t>
      </w: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3"/>
        <w:gridCol w:w="1502"/>
      </w:tblGrid>
      <w:tr w:rsidR="000D29E9" w14:paraId="78997D97" w14:textId="77777777">
        <w:trPr>
          <w:trHeight w:val="392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3655AE78" w14:textId="77777777" w:rsidR="000D29E9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Je réussis si : </w:t>
            </w:r>
          </w:p>
          <w:p w14:paraId="1012F46F" w14:textId="77777777" w:rsidR="000D29E9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+/-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4237FAB3" w14:textId="77777777" w:rsidR="000D29E9" w:rsidRDefault="00000000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Evaluation</w:t>
            </w:r>
          </w:p>
        </w:tc>
      </w:tr>
      <w:tr w:rsidR="000D29E9" w14:paraId="5D35B25C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FE85" w14:textId="77777777" w:rsidR="000D29E9" w:rsidRDefault="0000000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</w:rPr>
              <w:t xml:space="preserve"> : </w:t>
            </w:r>
            <w:r>
              <w:t xml:space="preserve">Mon interprétation permet de </w:t>
            </w:r>
            <w:r>
              <w:rPr>
                <w:b/>
              </w:rPr>
              <w:t>valider ou de réfuter l’hypothèse testée</w:t>
            </w:r>
            <w:r>
              <w:t xml:space="preserve"> et donc de répondre au problème posé.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071E" w14:textId="77777777" w:rsidR="000D29E9" w:rsidRDefault="000D29E9">
            <w:pPr>
              <w:jc w:val="both"/>
              <w:rPr>
                <w:rFonts w:ascii="Arial" w:hAnsi="Arial" w:cs="Arial"/>
              </w:rPr>
            </w:pPr>
          </w:p>
        </w:tc>
      </w:tr>
      <w:tr w:rsidR="000D29E9" w14:paraId="2C7ED053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508E" w14:textId="77777777" w:rsidR="000D29E9" w:rsidRDefault="00000000">
            <w:pPr>
              <w:pStyle w:val="TableParagraph"/>
              <w:tabs>
                <w:tab w:val="left" w:pos="805"/>
              </w:tabs>
              <w:spacing w:line="260" w:lineRule="exact"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Mon interprétation précise : </w:t>
            </w:r>
          </w:p>
          <w:p w14:paraId="0A074F53" w14:textId="77777777" w:rsidR="000D29E9" w:rsidRDefault="00000000">
            <w:pPr>
              <w:pStyle w:val="TableParagraph"/>
              <w:tabs>
                <w:tab w:val="left" w:pos="805"/>
              </w:tabs>
              <w:spacing w:line="260" w:lineRule="exact"/>
              <w:jc w:val="both"/>
            </w:pPr>
            <w:r>
              <w:rPr>
                <w:rFonts w:cstheme="minorHAnsi"/>
              </w:rPr>
              <w:t xml:space="preserve">- </w:t>
            </w:r>
            <w:r>
              <w:rPr>
                <w:b/>
              </w:rPr>
              <w:t>« Ce que l’on voit »</w:t>
            </w:r>
            <w:r>
              <w:rPr>
                <w:b/>
                <w:spacing w:val="-5"/>
              </w:rPr>
              <w:t xml:space="preserve"> : </w:t>
            </w:r>
            <w:r>
              <w:t xml:space="preserve">présentation de l’ensemble des </w:t>
            </w:r>
            <w:r>
              <w:rPr>
                <w:spacing w:val="-2"/>
              </w:rPr>
              <w:t>résultats.</w:t>
            </w:r>
          </w:p>
          <w:p w14:paraId="557AE0D1" w14:textId="77777777" w:rsidR="000D29E9" w:rsidRDefault="00000000">
            <w:pPr>
              <w:pStyle w:val="TableParagraph"/>
              <w:tabs>
                <w:tab w:val="left" w:pos="805"/>
              </w:tabs>
              <w:spacing w:before="2" w:line="233" w:lineRule="auto"/>
              <w:ind w:right="82"/>
              <w:jc w:val="both"/>
            </w:pPr>
            <w:r>
              <w:rPr>
                <w:b/>
              </w:rPr>
              <w:t>- « Ce que l’on sait »</w:t>
            </w:r>
            <w:r>
              <w:rPr>
                <w:b/>
                <w:spacing w:val="-5"/>
              </w:rPr>
              <w:t xml:space="preserve"> : </w:t>
            </w:r>
            <w:r>
              <w:t>ajout des notions issues des connaissances / ressources et/ou mise en situation, adaptées à l’interprétation.</w:t>
            </w:r>
          </w:p>
          <w:p w14:paraId="660F9E92" w14:textId="77777777" w:rsidR="000D29E9" w:rsidRDefault="00000000">
            <w:pPr>
              <w:jc w:val="both"/>
              <w:rPr>
                <w:rFonts w:cstheme="minorHAnsi"/>
              </w:rPr>
            </w:pPr>
            <w:r>
              <w:rPr>
                <w:b/>
              </w:rPr>
              <w:t>- « Ce que l’on conclut »</w:t>
            </w:r>
            <w:r>
              <w:rPr>
                <w:b/>
                <w:spacing w:val="-3"/>
              </w:rPr>
              <w:t xml:space="preserve"> : </w:t>
            </w:r>
            <w:r>
              <w:t xml:space="preserve">mise en relation des résultats et des notions pour répondre au </w:t>
            </w:r>
            <w:r>
              <w:rPr>
                <w:spacing w:val="-2"/>
              </w:rPr>
              <w:t>problème.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2F6B" w14:textId="77777777" w:rsidR="000D29E9" w:rsidRDefault="000D29E9">
            <w:pPr>
              <w:jc w:val="both"/>
              <w:rPr>
                <w:rFonts w:ascii="Arial" w:hAnsi="Arial" w:cs="Arial"/>
              </w:rPr>
            </w:pPr>
          </w:p>
        </w:tc>
      </w:tr>
      <w:tr w:rsidR="000D29E9" w14:paraId="58E04AAE" w14:textId="77777777">
        <w:trPr>
          <w:trHeight w:val="113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B954" w14:textId="77777777" w:rsidR="000D29E9" w:rsidRDefault="00000000">
            <w:pPr>
              <w:pStyle w:val="TableParagraph"/>
              <w:ind w:left="85"/>
              <w:jc w:val="both"/>
              <w:rPr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>EXACTITUDE 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 xml:space="preserve">Je suis </w:t>
            </w:r>
            <w:r>
              <w:rPr>
                <w:b/>
                <w:spacing w:val="-2"/>
              </w:rPr>
              <w:t>rigoureux / rigoureuse dans l’interprétation :</w:t>
            </w:r>
          </w:p>
          <w:p w14:paraId="6E747DB7" w14:textId="77777777" w:rsidR="000D29E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jc w:val="both"/>
            </w:pPr>
            <w:r>
              <w:t>Quantification des données si</w:t>
            </w:r>
            <w:r>
              <w:rPr>
                <w:spacing w:val="-2"/>
              </w:rPr>
              <w:t xml:space="preserve"> possible.</w:t>
            </w:r>
          </w:p>
          <w:p w14:paraId="0607CA26" w14:textId="77777777" w:rsidR="000D29E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jc w:val="both"/>
            </w:pPr>
            <w:r>
              <w:t xml:space="preserve">Vocabulaire scientifique exact et </w:t>
            </w:r>
            <w:r>
              <w:rPr>
                <w:spacing w:val="-2"/>
              </w:rPr>
              <w:t>précis.</w:t>
            </w:r>
          </w:p>
          <w:p w14:paraId="73E2C03C" w14:textId="77777777" w:rsidR="000D29E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jc w:val="both"/>
              <w:rPr>
                <w:rFonts w:asciiTheme="minorHAnsi" w:hAnsiTheme="minorHAnsi" w:cstheme="minorHAnsi"/>
              </w:rPr>
            </w:pPr>
            <w:r>
              <w:t xml:space="preserve">Sans déformation ni erreur de </w:t>
            </w:r>
            <w:r>
              <w:rPr>
                <w:spacing w:val="-2"/>
              </w:rPr>
              <w:t>lecture.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B2FC" w14:textId="77777777" w:rsidR="000D29E9" w:rsidRDefault="000D29E9">
            <w:pPr>
              <w:jc w:val="both"/>
              <w:rPr>
                <w:rFonts w:ascii="Arial" w:hAnsi="Arial" w:cs="Arial"/>
              </w:rPr>
            </w:pPr>
          </w:p>
        </w:tc>
      </w:tr>
      <w:tr w:rsidR="000D29E9" w14:paraId="560AC174" w14:textId="77777777">
        <w:trPr>
          <w:trHeight w:val="581"/>
          <w:jc w:val="center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ECF3" w14:textId="77777777" w:rsidR="000D29E9" w:rsidRDefault="0000000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CONFORMITE : </w:t>
            </w:r>
            <w:r>
              <w:t xml:space="preserve">J’ai </w:t>
            </w:r>
            <w:r>
              <w:rPr>
                <w:b/>
              </w:rPr>
              <w:t xml:space="preserve">structuré </w:t>
            </w:r>
            <w:r>
              <w:t xml:space="preserve">mon écrit afin de faciliter sa lecture et sa </w:t>
            </w:r>
            <w:r>
              <w:rPr>
                <w:spacing w:val="-2"/>
              </w:rPr>
              <w:t>compréhension : j’ai mis en relation les 3 parties de mon interprétation par des connecteurs logiques.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E3CB" w14:textId="77777777" w:rsidR="000D29E9" w:rsidRDefault="000D29E9">
            <w:pPr>
              <w:jc w:val="both"/>
              <w:rPr>
                <w:rFonts w:ascii="Arial" w:hAnsi="Arial" w:cs="Arial"/>
              </w:rPr>
            </w:pPr>
          </w:p>
        </w:tc>
      </w:tr>
    </w:tbl>
    <w:p w14:paraId="75AC6FC1" w14:textId="77777777" w:rsidR="000D29E9" w:rsidRDefault="000D29E9">
      <w:pPr>
        <w:jc w:val="both"/>
        <w:rPr>
          <w:b/>
          <w:color w:val="00B0F0"/>
        </w:rPr>
      </w:pPr>
    </w:p>
    <w:p w14:paraId="73483F8A" w14:textId="77777777" w:rsidR="000D29E9" w:rsidRDefault="00000000">
      <w:pPr>
        <w:jc w:val="both"/>
        <w:rPr>
          <w:b/>
          <w:bCs/>
          <w:color w:val="00B0F0"/>
        </w:rPr>
      </w:pPr>
      <w:r>
        <w:rPr>
          <w:b/>
          <w:bCs/>
          <w:color w:val="00B0F0"/>
        </w:rPr>
        <w:t xml:space="preserve">Annexe : </w:t>
      </w:r>
    </w:p>
    <w:p w14:paraId="35BA77DC" w14:textId="77777777" w:rsidR="000D29E9" w:rsidRDefault="00000000">
      <w:pPr>
        <w:jc w:val="both"/>
      </w:pPr>
      <w:r>
        <w:rPr>
          <w:b/>
          <w:u w:val="single"/>
        </w:rPr>
        <w:t>Différenciation possible :</w:t>
      </w:r>
      <w:r>
        <w:t xml:space="preserve"> </w:t>
      </w:r>
    </w:p>
    <w:p w14:paraId="4D950DF6" w14:textId="77777777" w:rsidR="000D29E9" w:rsidRDefault="00000000">
      <w:pPr>
        <w:pStyle w:val="Paragraphedeliste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Après avoir présenté les critères de réussite et afin de les aider à identifier les notions issues des connaissances à ajouter : </w:t>
      </w:r>
    </w:p>
    <w:p w14:paraId="6A456471" w14:textId="77777777" w:rsidR="000D29E9" w:rsidRDefault="00000000">
      <w:pPr>
        <w:spacing w:after="0" w:line="276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A l’oral, aider les élèves à identifier le paramètre qui est étudié (le passage de l’eau et des sels minéraux dans la plante) et les conditions que l’on fait varier (toute la racine dans l’eau/ extrémité de la racine dans l’eau/ poils de la racine dans l’eau). Leur demander « Comment allez-vous voir si l’eau et les sels minéraux entrent dans la plante ? » afin de mettre en évidence l’intérêt d’utiliser une méthode indirecte pour identifier le comportement du paramètre étudié =&gt; Si la plante fane, cela signifie qu’elle n’a pas absorbé l’eau et les sels minéraux alors que si la plante ne fane pas cela signifie qu’elle a absorbé l’eau et les sels minéraux. </w:t>
      </w:r>
    </w:p>
    <w:p w14:paraId="032B273C" w14:textId="77777777" w:rsidR="000D29E9" w:rsidRDefault="000D29E9">
      <w:pPr>
        <w:pStyle w:val="Paragraphedeliste"/>
        <w:spacing w:after="0" w:line="276" w:lineRule="auto"/>
        <w:jc w:val="both"/>
        <w:rPr>
          <w:rFonts w:cstheme="minorHAnsi"/>
        </w:rPr>
      </w:pPr>
    </w:p>
    <w:p w14:paraId="298CD6A8" w14:textId="77777777" w:rsidR="000D29E9" w:rsidRDefault="00000000">
      <w:pPr>
        <w:pStyle w:val="Paragraphedeliste"/>
        <w:numPr>
          <w:ilvl w:val="0"/>
          <w:numId w:val="10"/>
        </w:numPr>
        <w:jc w:val="both"/>
      </w:pPr>
      <w:r>
        <w:t>Selon l’avancée dans le travail méthodologique, des aides à la rédaction peuvent être proposées.</w:t>
      </w:r>
    </w:p>
    <w:p w14:paraId="1B13A4CE" w14:textId="77777777" w:rsidR="000D29E9" w:rsidRDefault="00000000">
      <w:pPr>
        <w:jc w:val="both"/>
      </w:pPr>
      <w:r>
        <w:t xml:space="preserve">a. </w:t>
      </w:r>
    </w:p>
    <w:p w14:paraId="5BA63F09" w14:textId="77777777" w:rsidR="000D29E9" w:rsidRDefault="00000000">
      <w:pPr>
        <w:pStyle w:val="Paragraphedeliste"/>
        <w:numPr>
          <w:ilvl w:val="0"/>
          <w:numId w:val="9"/>
        </w:numPr>
        <w:ind w:left="426"/>
        <w:jc w:val="both"/>
      </w:pPr>
      <w:r>
        <w:t>Dans le tube A témoin, toute la racine est plongée dans l’eau et on observe que (…) alors que dans le tube B (Test 1 : extrémité de la racine dans l’eau), on observe que (…).</w:t>
      </w:r>
    </w:p>
    <w:p w14:paraId="13CD320F" w14:textId="77777777" w:rsidR="000D29E9" w:rsidRDefault="00000000">
      <w:pPr>
        <w:pStyle w:val="Paragraphedeliste"/>
        <w:numPr>
          <w:ilvl w:val="0"/>
          <w:numId w:val="9"/>
        </w:numPr>
        <w:ind w:left="426"/>
        <w:jc w:val="both"/>
      </w:pPr>
      <w:r>
        <w:t xml:space="preserve">Dans le tube A témoin, toute la racine est plongée dans l’eau et on observe que (…) de même que dans le tube C (Test 2 : </w:t>
      </w:r>
      <w:r>
        <w:rPr>
          <w:rFonts w:cstheme="minorHAnsi"/>
        </w:rPr>
        <w:t>Poils de la racine dans l’eau)</w:t>
      </w:r>
      <w:r>
        <w:t xml:space="preserve">, on observe que (…). </w:t>
      </w:r>
    </w:p>
    <w:p w14:paraId="4206319B" w14:textId="77777777" w:rsidR="000D29E9" w:rsidRDefault="00000000">
      <w:pPr>
        <w:jc w:val="both"/>
      </w:pPr>
      <w:r>
        <w:t xml:space="preserve">b. On sait que la plante fane lorsque (…). La plante a donc bien absorbé l’eau dans le(s) tube(s) (…) mais pas dans le(s) tube(s) (…). </w:t>
      </w:r>
    </w:p>
    <w:p w14:paraId="02A9DE14" w14:textId="77777777" w:rsidR="000D29E9" w:rsidRDefault="00000000">
      <w:pPr>
        <w:jc w:val="both"/>
      </w:pPr>
      <w:r>
        <w:t xml:space="preserve">c. On peut donc en conclure que la racine absorbe l’eau et les sels minéraux par (…). </w:t>
      </w:r>
    </w:p>
    <w:p w14:paraId="49B965C7" w14:textId="77777777" w:rsidR="000D29E9" w:rsidRDefault="000D29E9">
      <w:pPr>
        <w:jc w:val="both"/>
      </w:pPr>
    </w:p>
    <w:sectPr w:rsidR="000D29E9">
      <w:pgSz w:w="11906" w:h="16838"/>
      <w:pgMar w:top="720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1A00C" w14:textId="77777777" w:rsidR="002D3D5C" w:rsidRDefault="002D3D5C">
      <w:pPr>
        <w:spacing w:after="0" w:line="240" w:lineRule="auto"/>
      </w:pPr>
      <w:r>
        <w:separator/>
      </w:r>
    </w:p>
  </w:endnote>
  <w:endnote w:type="continuationSeparator" w:id="0">
    <w:p w14:paraId="6AE5E90A" w14:textId="77777777" w:rsidR="002D3D5C" w:rsidRDefault="002D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6580" w14:textId="77777777" w:rsidR="002D3D5C" w:rsidRDefault="002D3D5C">
      <w:pPr>
        <w:spacing w:after="0" w:line="240" w:lineRule="auto"/>
      </w:pPr>
      <w:r>
        <w:separator/>
      </w:r>
    </w:p>
  </w:footnote>
  <w:footnote w:type="continuationSeparator" w:id="0">
    <w:p w14:paraId="0E245BEC" w14:textId="77777777" w:rsidR="002D3D5C" w:rsidRDefault="002D3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26DE5"/>
    <w:multiLevelType w:val="multilevel"/>
    <w:tmpl w:val="EA705A8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7847"/>
    <w:multiLevelType w:val="multilevel"/>
    <w:tmpl w:val="7004C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E5643"/>
    <w:multiLevelType w:val="multilevel"/>
    <w:tmpl w:val="B29482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B362423"/>
    <w:multiLevelType w:val="multilevel"/>
    <w:tmpl w:val="A038EFF0"/>
    <w:lvl w:ilvl="0">
      <w:numFmt w:val="bullet"/>
      <w:lvlText w:val="-"/>
      <w:lvlJc w:val="left"/>
      <w:pPr>
        <w:tabs>
          <w:tab w:val="num" w:pos="0"/>
        </w:tabs>
        <w:ind w:left="805" w:hanging="360"/>
      </w:pPr>
      <w:rPr>
        <w:rFonts w:ascii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8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7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5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4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3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1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8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4" w15:restartNumberingAfterBreak="0">
    <w:nsid w:val="5DAA1121"/>
    <w:multiLevelType w:val="multilevel"/>
    <w:tmpl w:val="66261E0E"/>
    <w:lvl w:ilvl="0">
      <w:start w:val="2"/>
      <w:numFmt w:val="bullet"/>
      <w:lvlText w:val=""/>
      <w:lvlJc w:val="left"/>
      <w:pPr>
        <w:ind w:left="786" w:hanging="360"/>
      </w:pPr>
      <w:rPr>
        <w:rFonts w:ascii="Wingdings" w:eastAsiaTheme="minorHAnsi" w:hAnsi="Wingdings" w:cstheme="minorBidi" w:hint="default"/>
        <w:b/>
        <w:u w:val="no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1303710"/>
    <w:multiLevelType w:val="multilevel"/>
    <w:tmpl w:val="0F98A47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85A5A"/>
    <w:multiLevelType w:val="multilevel"/>
    <w:tmpl w:val="0A2CA6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F217A26"/>
    <w:multiLevelType w:val="multilevel"/>
    <w:tmpl w:val="5844BAB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4862865">
    <w:abstractNumId w:val="3"/>
  </w:num>
  <w:num w:numId="2" w16cid:durableId="1904246767">
    <w:abstractNumId w:val="2"/>
  </w:num>
  <w:num w:numId="3" w16cid:durableId="53549974">
    <w:abstractNumId w:val="6"/>
  </w:num>
  <w:num w:numId="4" w16cid:durableId="1683358091">
    <w:abstractNumId w:val="7"/>
  </w:num>
  <w:num w:numId="5" w16cid:durableId="1318614358">
    <w:abstractNumId w:val="5"/>
  </w:num>
  <w:num w:numId="6" w16cid:durableId="1064374847">
    <w:abstractNumId w:val="1"/>
  </w:num>
  <w:num w:numId="7" w16cid:durableId="716390298">
    <w:abstractNumId w:val="4"/>
  </w:num>
  <w:num w:numId="8" w16cid:durableId="1918900347">
    <w:abstractNumId w:val="0"/>
  </w:num>
  <w:num w:numId="9" w16cid:durableId="1587322">
    <w:abstractNumId w:val="3"/>
  </w:num>
  <w:num w:numId="10" w16cid:durableId="1493183175">
    <w:abstractNumId w:val="7"/>
  </w:num>
  <w:num w:numId="11" w16cid:durableId="292100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E9"/>
    <w:rsid w:val="000D29E9"/>
    <w:rsid w:val="002D3D5C"/>
    <w:rsid w:val="00B35DB2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D708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link w:val="TitreCa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3462</Characters>
  <Application>Microsoft Office Word</Application>
  <DocSecurity>0</DocSecurity>
  <Lines>28</Lines>
  <Paragraphs>8</Paragraphs>
  <ScaleCrop>false</ScaleCrop>
  <Company>DEPARTEMENT DE L'AISNE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dc:description/>
  <cp:lastModifiedBy>Manuella Van-Praet</cp:lastModifiedBy>
  <cp:revision>2</cp:revision>
  <dcterms:created xsi:type="dcterms:W3CDTF">2026-07-10T13:00:00Z</dcterms:created>
  <dcterms:modified xsi:type="dcterms:W3CDTF">2026-07-10T13:00:00Z</dcterms:modified>
  <dc:language>fr-FR</dc:language>
</cp:coreProperties>
</file>