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EF6C" w14:textId="77777777" w:rsidR="00737C90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 détermination du sexe</w:t>
      </w:r>
    </w:p>
    <w:p w14:paraId="3BBEE0F2" w14:textId="77777777" w:rsidR="00737C90" w:rsidRDefault="00000000">
      <w:r>
        <w:rPr>
          <w:b/>
          <w:bCs/>
          <w:color w:val="00B0F0"/>
        </w:rPr>
        <w:t>Niveau de classe ou cycle</w:t>
      </w:r>
      <w:r>
        <w:rPr>
          <w:color w:val="00B0F0"/>
        </w:rPr>
        <w:t> </w:t>
      </w:r>
      <w:r>
        <w:t>: Seconde</w:t>
      </w:r>
    </w:p>
    <w:p w14:paraId="24C86E2C" w14:textId="77777777" w:rsidR="00737C90" w:rsidRDefault="00000000">
      <w:pPr>
        <w:rPr>
          <w:rFonts w:ascii="Calibri" w:eastAsia="Times New Roman" w:hAnsi="Calibri" w:cs="Calibri"/>
          <w:color w:val="000000" w:themeColor="text1"/>
          <w:lang w:eastAsia="fr-FR"/>
        </w:rPr>
      </w:pPr>
      <w:r>
        <w:rPr>
          <w:b/>
          <w:bCs/>
          <w:color w:val="00B0F0"/>
        </w:rPr>
        <w:t>Notion du BO travaillée</w:t>
      </w:r>
      <w:r>
        <w:rPr>
          <w:color w:val="00B0F0"/>
        </w:rPr>
        <w:t> </w:t>
      </w:r>
      <w:r>
        <w:t>qui s’inscrit dans</w:t>
      </w:r>
      <w:r>
        <w:rPr>
          <w:rFonts w:ascii="Calibri" w:eastAsia="Times New Roman" w:hAnsi="Calibri" w:cs="Calibri"/>
          <w:color w:val="000000" w:themeColor="text1"/>
          <w:lang w:eastAsia="fr-FR"/>
        </w:rPr>
        <w:t xml:space="preserve"> « Corps humain et santé » &gt;&gt; « Corps humain : de la fécondation à la puberté » :</w:t>
      </w:r>
    </w:p>
    <w:p w14:paraId="383741B0" w14:textId="77777777" w:rsidR="00737C90" w:rsidRDefault="00000000">
      <w:pPr>
        <w:rPr>
          <w:rFonts w:ascii="Calibri" w:eastAsia="Times New Roman" w:hAnsi="Calibri" w:cs="Calibri"/>
          <w:color w:val="000000" w:themeColor="text1"/>
          <w:lang w:eastAsia="fr-FR"/>
        </w:rPr>
      </w:pPr>
      <w:r>
        <w:rPr>
          <w:rFonts w:ascii="Calibri" w:eastAsia="Times New Roman" w:hAnsi="Calibri" w:cs="Calibri"/>
          <w:color w:val="000000" w:themeColor="text1"/>
          <w:lang w:eastAsia="fr-FR"/>
        </w:rPr>
        <w:t>La mise en place de l’organisation et de la fonctionnalité des appareils sexuels se réalise sur une longue période qui va de la fécondation à la puberté.</w:t>
      </w:r>
    </w:p>
    <w:p w14:paraId="3ADFBD27" w14:textId="77777777" w:rsidR="00737C90" w:rsidRDefault="00000000">
      <w:r>
        <w:rPr>
          <w:b/>
          <w:bCs/>
          <w:color w:val="00B0F0"/>
        </w:rPr>
        <w:t>Contexte de l’activité</w:t>
      </w:r>
      <w:r>
        <w:rPr>
          <w:color w:val="00B0F0"/>
        </w:rPr>
        <w:t xml:space="preserve"> </w:t>
      </w:r>
      <w:r>
        <w:t>: Cette activité peut s’intégrer à une séquence pour construire les notions visées.</w:t>
      </w:r>
    </w:p>
    <w:p w14:paraId="34684E32" w14:textId="77777777" w:rsidR="00737C90" w:rsidRDefault="00000000">
      <w:pPr>
        <w:rPr>
          <w:rFonts w:ascii="Calibri" w:eastAsia="Times New Roman" w:hAnsi="Calibri" w:cs="Calibri"/>
          <w:color w:val="000000" w:themeColor="text1"/>
          <w:lang w:eastAsia="fr-FR"/>
        </w:rPr>
      </w:pPr>
      <w:r>
        <w:rPr>
          <w:b/>
          <w:bCs/>
          <w:color w:val="00B0F0"/>
        </w:rPr>
        <w:t>Compétence travaillée dans l’activité :</w:t>
      </w:r>
      <w:r>
        <w:rPr>
          <w:color w:val="00B0F0"/>
        </w:rPr>
        <w:t> </w:t>
      </w:r>
      <w:r>
        <w:t>Interpréter les résultats et en tirer des conclusions</w:t>
      </w:r>
    </w:p>
    <w:p w14:paraId="208CA384" w14:textId="77777777" w:rsidR="00737C90" w:rsidRDefault="00000000">
      <w:r>
        <w:rPr>
          <w:b/>
          <w:bCs/>
          <w:color w:val="00B0F0"/>
        </w:rPr>
        <w:t xml:space="preserve">Contenu de l’activité </w:t>
      </w:r>
      <w:r>
        <w:t>:</w:t>
      </w:r>
    </w:p>
    <w:p w14:paraId="4E69C024" w14:textId="77777777" w:rsidR="00737C90" w:rsidRDefault="00000000">
      <w:r>
        <w:t>On a vu qu’il existait des chromosomes sexuels et que ceux-ci participaient à la détermination du sexe de l’individu : XY chez les hommes et XX chez les femmes. Pourtant dans 1 cas sur 20 000, il existe des hommes XX. Ils possèdent des testicules non fonctionnels.</w:t>
      </w:r>
    </w:p>
    <w:p w14:paraId="49FCFFF7" w14:textId="77777777" w:rsidR="00737C90" w:rsidRDefault="00000000">
      <w:r>
        <w:rPr>
          <w:u w:val="single"/>
        </w:rPr>
        <w:t xml:space="preserve">Objectif </w:t>
      </w:r>
      <w:r>
        <w:t>: déterminer l’origine génétique de la détermination du sexe masculin.</w:t>
      </w:r>
    </w:p>
    <w:p w14:paraId="05DAFCDC" w14:textId="77777777" w:rsidR="00737C90" w:rsidRDefault="00000000">
      <w:r>
        <w:rPr>
          <w:u w:val="single"/>
        </w:rPr>
        <w:t>Consigne :</w:t>
      </w:r>
      <w:r>
        <w:t xml:space="preserve"> </w:t>
      </w:r>
      <w:r>
        <w:rPr>
          <w:b/>
          <w:bCs/>
        </w:rPr>
        <w:t xml:space="preserve">Interpréter les données </w:t>
      </w:r>
      <w:r>
        <w:t>proposés afin de d’identifier le rôle du gène SRY dans la détermination du sexe masculin.</w:t>
      </w:r>
    </w:p>
    <w:p w14:paraId="3D233107" w14:textId="77777777" w:rsidR="00737C90" w:rsidRDefault="00000000">
      <w:r>
        <w:rPr>
          <w:u w:val="single"/>
        </w:rPr>
        <w:t>Document  1 :</w:t>
      </w:r>
      <w:r>
        <w:t xml:space="preserve">Marquage par fluorescence (vert) du gène SRY à gauche chez un homme normal et à droite chez un homme XX </w:t>
      </w:r>
    </w:p>
    <w:p w14:paraId="0A1CC0B9" w14:textId="77777777" w:rsidR="00737C90" w:rsidRDefault="0000000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29BA142D" wp14:editId="62A4CDCC">
                <wp:extent cx="6535125" cy="3548132"/>
                <wp:effectExtent l="0" t="0" r="0" b="0"/>
                <wp:docPr id="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4453891" name="Picture 1674453891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535125" cy="3548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14.58pt;height:279.38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0C1A3142" w14:textId="77777777" w:rsidR="00737C90" w:rsidRDefault="00000000">
      <w:pPr>
        <w:jc w:val="right"/>
        <w:rPr>
          <w:bCs/>
          <w:i/>
        </w:rPr>
      </w:pPr>
      <w:r>
        <w:rPr>
          <w:i/>
          <w:iCs/>
        </w:rPr>
        <w:t xml:space="preserve">Nathan seconde </w:t>
      </w:r>
    </w:p>
    <w:p w14:paraId="63E05F5B" w14:textId="77777777" w:rsidR="00737C90" w:rsidRDefault="00000000">
      <w:pPr>
        <w:rPr>
          <w:bCs/>
          <w:i/>
        </w:rPr>
      </w:pPr>
      <w:r>
        <w:rPr>
          <w:bCs/>
          <w:i/>
        </w:rPr>
        <w:br w:type="page" w:clear="all"/>
      </w:r>
    </w:p>
    <w:p w14:paraId="31B7109C" w14:textId="77777777" w:rsidR="00737C90" w:rsidRDefault="00000000">
      <w:r>
        <w:rPr>
          <w:u w:val="single"/>
        </w:rPr>
        <w:lastRenderedPageBreak/>
        <w:t xml:space="preserve">Document 2 </w:t>
      </w:r>
      <w:r>
        <w:t xml:space="preserve">: expérience de transgénèse du gène SRY. </w:t>
      </w:r>
    </w:p>
    <w:p w14:paraId="5704EF63" w14:textId="77777777" w:rsidR="00737C90" w:rsidRDefault="0000000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77807F0" wp14:editId="02D5738F">
                <wp:extent cx="6590517" cy="1202278"/>
                <wp:effectExtent l="0" t="0" r="0" b="0"/>
                <wp:docPr id="2" name="Image 1" descr="Une image contenant texte, Police, capture d’écran, lign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73232" name="Image 1" descr="Une image contenant texte, Police, capture d’écran, ligne&#10;&#10;Le contenu généré par l’IA peut êtr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90517" cy="1202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18.94pt;height:94.67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14:paraId="73608413" w14:textId="77777777" w:rsidR="00737C90" w:rsidRDefault="00000000">
      <w:pPr>
        <w:jc w:val="right"/>
        <w:rPr>
          <w:b/>
          <w:bCs/>
          <w:i/>
          <w:u w:val="single"/>
        </w:rPr>
      </w:pPr>
      <w:r>
        <w:rPr>
          <w:i/>
          <w:iCs/>
        </w:rPr>
        <w:t>Hachette seconde</w:t>
      </w:r>
    </w:p>
    <w:p w14:paraId="58B7C84F" w14:textId="77777777" w:rsidR="00737C90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Notes :</w:t>
      </w:r>
    </w:p>
    <w:p w14:paraId="1D8C5ED6" w14:textId="77777777" w:rsidR="00737C90" w:rsidRDefault="00000000">
      <w:pPr>
        <w:pStyle w:val="Paragraphedeliste"/>
        <w:numPr>
          <w:ilvl w:val="0"/>
          <w:numId w:val="1"/>
        </w:numPr>
      </w:pPr>
      <w:r>
        <w:t>On peut après ajouter des études de la séquence du gène SRY</w:t>
      </w:r>
    </w:p>
    <w:p w14:paraId="2D1EECF1" w14:textId="77777777" w:rsidR="00737C90" w:rsidRDefault="00000000">
      <w:pPr>
        <w:pStyle w:val="Paragraphedeliste"/>
        <w:numPr>
          <w:ilvl w:val="0"/>
          <w:numId w:val="1"/>
        </w:numPr>
      </w:pPr>
      <w:r>
        <w:t>On peut revenir sur l’universalité de l’ADN</w:t>
      </w:r>
    </w:p>
    <w:p w14:paraId="1674B20B" w14:textId="2B4C21C3" w:rsidR="00737C90" w:rsidRDefault="00000000">
      <w:r>
        <w:rPr>
          <w:b/>
          <w:bCs/>
          <w:color w:val="00B0F0"/>
        </w:rPr>
        <w:t xml:space="preserve">Critères de réussite de la compétence travaillée : </w:t>
      </w:r>
      <w:r w:rsidR="0095647E">
        <w:t>Interpréter les résultats et en tirer des conclusions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 w:rsidR="00737C90" w14:paraId="70F8DAB2" w14:textId="77777777">
        <w:trPr>
          <w:trHeight w:val="392"/>
          <w:jc w:val="center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5DF1755" w14:textId="77777777" w:rsidR="00737C90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 réussis si : </w:t>
            </w:r>
          </w:p>
          <w:p w14:paraId="2A8EC85C" w14:textId="77777777" w:rsidR="00737C90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42A938E7" w14:textId="77777777" w:rsidR="00737C90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Evaluation</w:t>
            </w:r>
          </w:p>
        </w:tc>
      </w:tr>
      <w:tr w:rsidR="00737C90" w14:paraId="23C497FF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445" w14:textId="77777777" w:rsidR="00737C90" w:rsidRDefault="00000000">
            <w:r>
              <w:rPr>
                <w:u w:val="single"/>
              </w:rPr>
              <w:t xml:space="preserve">PERTINENCE </w:t>
            </w:r>
            <w:r>
              <w:t xml:space="preserve">: Mon interprétation permet de </w:t>
            </w:r>
            <w:r>
              <w:rPr>
                <w:b/>
                <w:bCs/>
              </w:rPr>
              <w:t>valider ou de réfuter l’hypothèse testée</w:t>
            </w:r>
            <w: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4A3B" w14:textId="77777777" w:rsidR="00737C90" w:rsidRDefault="00737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C90" w14:paraId="656DFDB3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CDF4" w14:textId="77777777" w:rsidR="00737C90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cstheme="minorBidi"/>
              </w:rPr>
            </w:pPr>
            <w:r>
              <w:rPr>
                <w:rFonts w:cstheme="minorBidi"/>
                <w:u w:val="single"/>
              </w:rPr>
              <w:t xml:space="preserve">COMPLETUDE </w:t>
            </w:r>
            <w:r>
              <w:rPr>
                <w:rFonts w:cstheme="minorBidi"/>
              </w:rPr>
              <w:t xml:space="preserve">: Mon interprétation précise : </w:t>
            </w:r>
          </w:p>
          <w:p w14:paraId="6E74EBF2" w14:textId="77777777" w:rsidR="00737C90" w:rsidRDefault="00000000">
            <w:pPr>
              <w:pStyle w:val="TableParagraph"/>
              <w:tabs>
                <w:tab w:val="left" w:pos="805"/>
              </w:tabs>
              <w:spacing w:line="260" w:lineRule="exact"/>
            </w:pPr>
            <w:r>
              <w:rPr>
                <w:rFonts w:cstheme="minorBidi"/>
              </w:rPr>
              <w:t xml:space="preserve">- </w:t>
            </w:r>
            <w:r>
              <w:rPr>
                <w:b/>
                <w:bCs/>
              </w:rPr>
              <w:t xml:space="preserve">« Ce que l’on voit » : </w:t>
            </w:r>
            <w:r>
              <w:t>présentation de l’ensemble des résultats.</w:t>
            </w:r>
          </w:p>
          <w:p w14:paraId="168C88BF" w14:textId="77777777" w:rsidR="00737C90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</w:pPr>
            <w:r>
              <w:rPr>
                <w:b/>
                <w:bCs/>
              </w:rPr>
              <w:t xml:space="preserve">- « Ce que l’on sait » : </w:t>
            </w:r>
            <w:r>
              <w:t>ajout des notions issues des connaissances/ressources et/ou mise en situation, adaptées à l’interprétation.</w:t>
            </w:r>
          </w:p>
          <w:p w14:paraId="2866B52B" w14:textId="77777777" w:rsidR="00737C90" w:rsidRDefault="00000000">
            <w:r>
              <w:rPr>
                <w:b/>
                <w:bCs/>
              </w:rPr>
              <w:t xml:space="preserve">- « Ce que l’on conclut » : </w:t>
            </w:r>
            <w:r>
              <w:t>mise en relation des résultats et des notions pour répondre au problème.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BCA" w14:textId="77777777" w:rsidR="00737C90" w:rsidRDefault="00737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C90" w14:paraId="5F1E5C8F" w14:textId="77777777">
        <w:trPr>
          <w:trHeight w:val="1131"/>
          <w:jc w:val="center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BA82" w14:textId="77777777" w:rsidR="00737C90" w:rsidRDefault="00000000">
            <w:pPr>
              <w:pStyle w:val="TableParagraph"/>
              <w:ind w:left="85"/>
              <w:rPr>
                <w:b/>
                <w:bCs/>
              </w:rPr>
            </w:pPr>
            <w:r>
              <w:rPr>
                <w:rFonts w:asciiTheme="minorHAnsi" w:hAnsiTheme="minorHAnsi" w:cstheme="minorBidi"/>
                <w:u w:val="single"/>
              </w:rPr>
              <w:t>EXACTITUDE </w:t>
            </w:r>
            <w:r>
              <w:rPr>
                <w:rFonts w:asciiTheme="minorHAnsi" w:hAnsiTheme="minorHAnsi" w:cstheme="minorBidi"/>
              </w:rPr>
              <w:t xml:space="preserve">: </w:t>
            </w:r>
            <w:r>
              <w:t xml:space="preserve">Je suis </w:t>
            </w:r>
            <w:r>
              <w:rPr>
                <w:b/>
                <w:bCs/>
              </w:rPr>
              <w:t>rigoureux</w:t>
            </w:r>
          </w:p>
          <w:p w14:paraId="7BC1D814" w14:textId="77777777" w:rsidR="00737C9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</w:pPr>
            <w:r>
              <w:t>quantification des données si possible.</w:t>
            </w:r>
          </w:p>
          <w:p w14:paraId="568B62B6" w14:textId="77777777" w:rsidR="00737C9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</w:pPr>
            <w:r>
              <w:t>vocabulaire scientifique exact et précis.</w:t>
            </w:r>
          </w:p>
          <w:p w14:paraId="3C56CC3D" w14:textId="77777777" w:rsidR="00737C9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  <w:rPr>
                <w:rFonts w:asciiTheme="minorHAnsi" w:hAnsiTheme="minorHAnsi" w:cstheme="minorBidi"/>
              </w:rPr>
            </w:pPr>
            <w:r>
              <w:t>sans déformation ni erreur de lecture.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1E1E" w14:textId="77777777" w:rsidR="00737C90" w:rsidRDefault="00737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C90" w14:paraId="0533CDFF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B6DD" w14:textId="77777777" w:rsidR="00737C90" w:rsidRDefault="00000000">
            <w:r>
              <w:rPr>
                <w:u w:val="single"/>
              </w:rPr>
              <w:t xml:space="preserve">CONFORMITE : </w:t>
            </w:r>
            <w:r>
              <w:t xml:space="preserve">J’ai </w:t>
            </w:r>
            <w:r>
              <w:rPr>
                <w:b/>
                <w:bCs/>
              </w:rPr>
              <w:t xml:space="preserve">structuré </w:t>
            </w:r>
            <w:r>
              <w:t>mon écrit afin de faciliter sa lecture et sa 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F8C1" w14:textId="77777777" w:rsidR="00737C90" w:rsidRDefault="00737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266DC" w14:textId="77777777" w:rsidR="00737C90" w:rsidRDefault="00737C90"/>
    <w:p w14:paraId="52E0DABD" w14:textId="77777777" w:rsidR="00737C90" w:rsidRDefault="00737C90"/>
    <w:p w14:paraId="1734762E" w14:textId="77777777" w:rsidR="00737C90" w:rsidRDefault="00737C90"/>
    <w:p w14:paraId="52A67D4E" w14:textId="77777777" w:rsidR="00737C90" w:rsidRDefault="00737C90"/>
    <w:p w14:paraId="5821F4D2" w14:textId="77777777" w:rsidR="00737C90" w:rsidRDefault="00737C90"/>
    <w:sectPr w:rsidR="00737C90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22D9" w14:textId="77777777" w:rsidR="00CE67A6" w:rsidRDefault="00CE67A6">
      <w:pPr>
        <w:spacing w:after="0" w:line="240" w:lineRule="auto"/>
      </w:pPr>
      <w:r>
        <w:separator/>
      </w:r>
    </w:p>
  </w:endnote>
  <w:endnote w:type="continuationSeparator" w:id="0">
    <w:p w14:paraId="15266D00" w14:textId="77777777" w:rsidR="00CE67A6" w:rsidRDefault="00C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415E" w14:textId="77777777" w:rsidR="00CE67A6" w:rsidRDefault="00CE67A6">
      <w:pPr>
        <w:spacing w:after="0" w:line="240" w:lineRule="auto"/>
      </w:pPr>
      <w:r>
        <w:separator/>
      </w:r>
    </w:p>
  </w:footnote>
  <w:footnote w:type="continuationSeparator" w:id="0">
    <w:p w14:paraId="79D6EA59" w14:textId="77777777" w:rsidR="00CE67A6" w:rsidRDefault="00C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448B"/>
    <w:multiLevelType w:val="multilevel"/>
    <w:tmpl w:val="DC4CD5E0"/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8347E"/>
    <w:multiLevelType w:val="multilevel"/>
    <w:tmpl w:val="8ABA8A3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963459499">
    <w:abstractNumId w:val="0"/>
  </w:num>
  <w:num w:numId="2" w16cid:durableId="146264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90"/>
    <w:rsid w:val="00242AB8"/>
    <w:rsid w:val="00646599"/>
    <w:rsid w:val="00737C90"/>
    <w:rsid w:val="0095647E"/>
    <w:rsid w:val="00CE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4030"/>
  <w15:docId w15:val="{8A3337DE-9209-4851-872D-EDAF9E00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Marion</dc:creator>
  <cp:keywords/>
  <dc:description/>
  <cp:lastModifiedBy>Manuella Van-Praet</cp:lastModifiedBy>
  <cp:revision>8</cp:revision>
  <dcterms:created xsi:type="dcterms:W3CDTF">2026-05-25T14:45:00Z</dcterms:created>
  <dcterms:modified xsi:type="dcterms:W3CDTF">2026-07-13T08:20:00Z</dcterms:modified>
</cp:coreProperties>
</file>