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992ED" w14:textId="77777777" w:rsidR="00961725" w:rsidRDefault="00000000">
      <w:pPr>
        <w:jc w:val="center"/>
        <w:rPr>
          <w:b/>
        </w:rPr>
      </w:pPr>
      <w:r>
        <w:rPr>
          <w:b/>
        </w:rPr>
        <w:t>La spéciation</w:t>
      </w:r>
    </w:p>
    <w:p w14:paraId="77C67439" w14:textId="77777777" w:rsidR="00961725" w:rsidRDefault="00000000">
      <w:pPr>
        <w:jc w:val="both"/>
      </w:pPr>
      <w:r>
        <w:rPr>
          <w:b/>
          <w:color w:val="00B0F0"/>
        </w:rPr>
        <w:t xml:space="preserve">Niveau de classe </w:t>
      </w:r>
      <w:r>
        <w:t>: Seconde</w:t>
      </w:r>
    </w:p>
    <w:p w14:paraId="13659EBA" w14:textId="77777777" w:rsidR="00961725" w:rsidRDefault="00000000">
      <w:pPr>
        <w:jc w:val="both"/>
        <w:rPr>
          <w:rFonts w:asciiTheme="majorHAnsi" w:hAnsiTheme="majorHAnsi" w:cstheme="majorHAnsi"/>
        </w:rPr>
      </w:pPr>
      <w:r>
        <w:rPr>
          <w:b/>
          <w:color w:val="00B0F0"/>
        </w:rPr>
        <w:t>Notion du BO travaillée</w:t>
      </w:r>
      <w:r>
        <w:rPr>
          <w:color w:val="00B0F0"/>
        </w:rPr>
        <w:t> </w:t>
      </w:r>
      <w:r>
        <w:rPr>
          <w:rFonts w:asciiTheme="majorHAnsi" w:hAnsiTheme="majorHAnsi" w:cstheme="majorHAnsi"/>
        </w:rPr>
        <w:t>qui s’inscrit da</w:t>
      </w:r>
      <w:r>
        <w:rPr>
          <w:rFonts w:asciiTheme="majorHAnsi" w:hAnsiTheme="majorHAnsi" w:cstheme="majorHAnsi"/>
          <w:color w:val="000000" w:themeColor="text1"/>
        </w:rPr>
        <w:t>ns « La Terre, la vie et l’organisation du vivant » &gt;&gt; « L’évolution de la biodiversité s’explique par des forces évolutives s’exerçant au niveau des populations » :</w:t>
      </w:r>
    </w:p>
    <w:p w14:paraId="3C870E54" w14:textId="77777777" w:rsidR="00961725" w:rsidRDefault="00000000">
      <w:pPr>
        <w:spacing w:after="120"/>
        <w:jc w:val="both"/>
      </w:pPr>
      <w:r>
        <w:t xml:space="preserve">Toutes  les  populations  se  séparent  en  sous-populations  au  cours  du  temps  à  cause  de  facteurs environnementaux  (séparations  géographiques)  ou  génétiques  (mutations  conduisant  à  des incompatibilités et dérives). Cette séparation est à l'origine de la spéciation. </w:t>
      </w:r>
    </w:p>
    <w:p w14:paraId="243D6E4E" w14:textId="77777777" w:rsidR="00961725" w:rsidRDefault="00000000">
      <w:pPr>
        <w:jc w:val="both"/>
      </w:pPr>
      <w:r>
        <w:rPr>
          <w:b/>
          <w:color w:val="00B0F0"/>
        </w:rPr>
        <w:t>Compétence travaillée dans l’activité</w:t>
      </w:r>
      <w:r>
        <w:rPr>
          <w:color w:val="00B0F0"/>
        </w:rPr>
        <w:t> </w:t>
      </w:r>
      <w:r>
        <w:t>: Construire un texte argumenté</w:t>
      </w:r>
    </w:p>
    <w:p w14:paraId="63BD6C3E" w14:textId="77777777" w:rsidR="00961725" w:rsidRDefault="00000000">
      <w:pPr>
        <w:jc w:val="both"/>
      </w:pPr>
      <w:r>
        <w:rPr>
          <w:b/>
          <w:color w:val="00B0F0"/>
        </w:rPr>
        <w:t>Contexte de l’activité</w:t>
      </w:r>
      <w:r>
        <w:rPr>
          <w:color w:val="00B0F0"/>
        </w:rPr>
        <w:t> </w:t>
      </w:r>
      <w:r>
        <w:t xml:space="preserve">: Cette activité peut s’intégrer à une séquence pour co-construire les notions visées. </w:t>
      </w:r>
    </w:p>
    <w:p w14:paraId="74EE726B" w14:textId="77777777" w:rsidR="00961725" w:rsidRDefault="00000000">
      <w:pPr>
        <w:jc w:val="both"/>
      </w:pPr>
      <w:r>
        <w:rPr>
          <w:b/>
          <w:color w:val="00B0F0"/>
        </w:rPr>
        <w:t xml:space="preserve">Contenu de l’activité </w:t>
      </w:r>
      <w:r>
        <w:t>:</w:t>
      </w:r>
    </w:p>
    <w:p w14:paraId="7AA86249" w14:textId="77777777" w:rsidR="00961725" w:rsidRDefault="00000000">
      <w:pPr>
        <w:jc w:val="both"/>
        <w:rPr>
          <w:rFonts w:cstheme="minorHAnsi"/>
          <w:u w:val="single"/>
        </w:rPr>
      </w:pPr>
      <w:r>
        <w:rPr>
          <w:rFonts w:cstheme="minorHAnsi"/>
        </w:rPr>
        <w:t xml:space="preserve">Le Pouillot verdâtre est une espèce d’oiseau issue d’une population ancestrale localisée au sud du plateau tibétain. Cependant, au nord du plateau tibétain, deux sous-populations de pouillots : </w:t>
      </w:r>
      <w:r>
        <w:rPr>
          <w:rFonts w:cstheme="minorHAnsi"/>
          <w:i/>
          <w:iCs/>
        </w:rPr>
        <w:t>plumbeitarsus</w:t>
      </w:r>
      <w:r>
        <w:rPr>
          <w:rFonts w:cstheme="minorHAnsi"/>
        </w:rPr>
        <w:t xml:space="preserve"> et </w:t>
      </w:r>
      <w:r>
        <w:rPr>
          <w:rFonts w:cstheme="minorHAnsi"/>
          <w:i/>
          <w:iCs/>
        </w:rPr>
        <w:t>viridanus</w:t>
      </w:r>
      <w:r>
        <w:rPr>
          <w:rFonts w:cstheme="minorHAnsi"/>
        </w:rPr>
        <w:t>, qui coexistent dans une même aire de répartition ne peuvent pas se reproduire entre elles, formant ainsi 2 espèces distinctes.</w:t>
      </w:r>
    </w:p>
    <w:p w14:paraId="28CF8E9F" w14:textId="0EFAB96E" w:rsidR="00961725" w:rsidRDefault="00000000">
      <w:pPr>
        <w:rPr>
          <w:rFonts w:cstheme="minorHAnsi"/>
        </w:rPr>
      </w:pPr>
      <w:r>
        <w:rPr>
          <w:rFonts w:cstheme="minorHAnsi"/>
          <w:bCs/>
          <w:u w:val="single"/>
        </w:rPr>
        <w:t>Consigne</w:t>
      </w:r>
      <w:r>
        <w:rPr>
          <w:rFonts w:cstheme="minorHAnsi"/>
          <w:bCs/>
        </w:rPr>
        <w:t xml:space="preserve"> :</w:t>
      </w:r>
      <w:r>
        <w:rPr>
          <w:rFonts w:cstheme="minorHAnsi"/>
        </w:rPr>
        <w:t xml:space="preserve"> A partir des documents proposés, </w:t>
      </w:r>
      <w:r>
        <w:rPr>
          <w:rFonts w:cstheme="minorHAnsi"/>
          <w:b/>
          <w:bCs/>
        </w:rPr>
        <w:t xml:space="preserve">construire un texte argumenté </w:t>
      </w:r>
      <w:r w:rsidR="006D013B">
        <w:rPr>
          <w:rFonts w:cstheme="minorHAnsi"/>
        </w:rPr>
        <w:t>prouvant</w:t>
      </w:r>
      <w:r>
        <w:rPr>
          <w:rFonts w:cstheme="minorHAnsi"/>
        </w:rPr>
        <w:t xml:space="preserve"> que la séparation géographique a pour conséquence une absence de reconnaissance entre mâles et femelles de pouillots verdâtres contribuant à une spéciation.</w:t>
      </w:r>
    </w:p>
    <w:p w14:paraId="3D9F263B" w14:textId="77777777" w:rsidR="00961725" w:rsidRDefault="00000000">
      <w:pPr>
        <w:pStyle w:val="Sansinterligne"/>
        <w:jc w:val="both"/>
        <w:rPr>
          <w:rFonts w:cstheme="minorHAnsi"/>
        </w:rPr>
      </w:pPr>
      <w:r>
        <w:rPr>
          <w:rFonts w:cstheme="minorHAnsi"/>
          <w:u w:val="single"/>
        </w:rPr>
        <w:t>Document 1</w:t>
      </w:r>
      <w:r>
        <w:rPr>
          <w:rFonts w:cstheme="minorHAnsi"/>
        </w:rPr>
        <w:t> : Séparation géographique et spéciation</w:t>
      </w:r>
    </w:p>
    <w:p w14:paraId="1D8A6F51" w14:textId="77777777" w:rsidR="00961725" w:rsidRDefault="00961725">
      <w:pPr>
        <w:pStyle w:val="Sansinterligne"/>
        <w:jc w:val="both"/>
        <w:rPr>
          <w:rFonts w:cstheme="minorHAnsi"/>
        </w:rPr>
      </w:pPr>
    </w:p>
    <w:p w14:paraId="62DD2DA5" w14:textId="77777777" w:rsidR="00961725" w:rsidRDefault="00000000">
      <w:pPr>
        <w:pStyle w:val="Sansinterligne"/>
        <w:jc w:val="both"/>
        <w:rPr>
          <w:rFonts w:cstheme="minorHAnsi"/>
        </w:rPr>
      </w:pPr>
      <w:r>
        <w:rPr>
          <w:rFonts w:cstheme="minorHAnsi"/>
        </w:rPr>
        <w:t>Quand une population est séparée géographiquement en deux sous-populations qui vivent dans des endroits différents, elles évoluent chacune de leur côté (mutations, dérive génétique et sélection différentes). Ainsi, en cas de séparation prolongée, il peut arriver que pour des raisons génétiques, les individus d’une sous-population ne peuvent plus obtenir de descendance fertile avec les individus de l’autre sous-population. C’est ainsi que de nouvelles espèces se forment à partir d’une population initiale, on appelle cela la spéciation.</w:t>
      </w:r>
    </w:p>
    <w:p w14:paraId="5A2D0E1F" w14:textId="77777777" w:rsidR="00961725" w:rsidRDefault="00000000">
      <w:pPr>
        <w:pStyle w:val="Sansinterligne"/>
        <w:jc w:val="both"/>
        <w:rPr>
          <w:rFonts w:cstheme="minorHAnsi"/>
        </w:rPr>
      </w:pPr>
      <w:r>
        <w:rPr>
          <w:rFonts w:cstheme="minorHAnsi"/>
        </w:rPr>
        <w:t>Les raisons génétiques pouvant expliquer l’impossibilité de descendance fertile sont nombreux, une des possibilités est la non reconnaissance entre femelles d’une sous-population et mâles de l’autre sous-population.</w:t>
      </w:r>
    </w:p>
    <w:p w14:paraId="0D83ACC8" w14:textId="77777777" w:rsidR="00961725" w:rsidRDefault="00961725">
      <w:pPr>
        <w:pStyle w:val="Sansinterligne"/>
        <w:jc w:val="both"/>
        <w:rPr>
          <w:rFonts w:cstheme="minorHAnsi"/>
        </w:rPr>
      </w:pPr>
    </w:p>
    <w:p w14:paraId="0F882F41" w14:textId="77777777" w:rsidR="00961725" w:rsidRDefault="00000000">
      <w:pPr>
        <w:pStyle w:val="Sansinterligne"/>
        <w:jc w:val="both"/>
        <w:rPr>
          <w:rFonts w:cstheme="minorHAnsi"/>
        </w:rPr>
      </w:pPr>
      <w:r>
        <w:rPr>
          <w:rFonts w:cstheme="minorHAnsi"/>
          <w:u w:val="single"/>
        </w:rPr>
        <w:t>Document 2</w:t>
      </w:r>
      <w:r>
        <w:rPr>
          <w:rFonts w:cstheme="minorHAnsi"/>
        </w:rPr>
        <w:t> : Carte de la répartition des différentes sous-populations de pouillots verdâtres</w:t>
      </w:r>
    </w:p>
    <w:p w14:paraId="768985BC" w14:textId="77777777" w:rsidR="00961725" w:rsidRDefault="00961725">
      <w:pPr>
        <w:pStyle w:val="Sansinterligne"/>
        <w:jc w:val="both"/>
        <w:rPr>
          <w:rFonts w:cstheme="minorHAnsi"/>
        </w:rPr>
      </w:pPr>
    </w:p>
    <w:p w14:paraId="14DC752F" w14:textId="77777777" w:rsidR="00961725" w:rsidRDefault="00000000">
      <w:pPr>
        <w:jc w:val="both"/>
        <w:rPr>
          <w:rFonts w:cstheme="minorHAnsi"/>
        </w:rPr>
      </w:pPr>
      <w:r>
        <w:rPr>
          <w:rFonts w:cstheme="minorHAnsi"/>
        </w:rPr>
        <w:t xml:space="preserve">Au cours d'un mouvement migratoire vers de nouveaux territoires à coloniser, deux populations de pouillots verdâtres ont contourné ce relief par l’est et par l’ouest. De nouvelles sous-populations se sont alors individualisées, interfécondes entre elles lorsque leurs territoires sont géographiquement proches. </w:t>
      </w:r>
    </w:p>
    <w:p w14:paraId="68885786" w14:textId="77777777" w:rsidR="00961725" w:rsidRDefault="00961725">
      <w:pPr>
        <w:pStyle w:val="Sansinterligne"/>
        <w:rPr>
          <w:rFonts w:cstheme="minorHAnsi"/>
        </w:rPr>
      </w:pPr>
    </w:p>
    <w:p w14:paraId="5192AC82" w14:textId="77777777" w:rsidR="00961725" w:rsidRDefault="00000000">
      <w:pPr>
        <w:jc w:val="center"/>
        <w:rPr>
          <w:rFonts w:cstheme="minorHAnsi"/>
        </w:rPr>
      </w:pPr>
      <w:r>
        <w:rPr>
          <w:rFonts w:cstheme="minorHAnsi"/>
          <w:noProof/>
        </w:rPr>
        <mc:AlternateContent>
          <mc:Choice Requires="wpg">
            <w:drawing>
              <wp:inline distT="0" distB="0" distL="0" distR="0" wp14:anchorId="079974B1" wp14:editId="251E5529">
                <wp:extent cx="5454594" cy="2647511"/>
                <wp:effectExtent l="0" t="0" r="0" b="0"/>
                <wp:docPr id="1" name="Image 1" descr="Une image contenant texte, capture d’écran, diagram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73931" name="Image 1" descr="Une image contenant texte, capture d’écran, diagramme, Police&#10;&#10;Description générée automatiquement"/>
                        <pic:cNvPicPr>
                          <a:picLocks noChangeAspect="1"/>
                        </pic:cNvPicPr>
                      </pic:nvPicPr>
                      <pic:blipFill rotWithShape="1">
                        <a:blip r:embed="rId7"/>
                        <a:stretch/>
                      </pic:blipFill>
                      <pic:spPr bwMode="auto">
                        <a:xfrm>
                          <a:off x="0" y="0"/>
                          <a:ext cx="5454594" cy="264751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29.50pt;height:208.47pt;mso-wrap-distance-left:0.00pt;mso-wrap-distance-top:0.00pt;mso-wrap-distance-right:0.00pt;mso-wrap-distance-bottom:0.00pt;z-index:1;" stroked="false">
                <v:imagedata r:id="rId9" o:title=""/>
                <o:lock v:ext="edit" rotation="t"/>
              </v:shape>
            </w:pict>
          </mc:Fallback>
        </mc:AlternateContent>
      </w:r>
    </w:p>
    <w:p w14:paraId="02F0E899" w14:textId="77777777" w:rsidR="00961725" w:rsidRDefault="00000000">
      <w:pPr>
        <w:jc w:val="right"/>
        <w:rPr>
          <w:rFonts w:cstheme="minorHAnsi"/>
        </w:rPr>
      </w:pPr>
      <w:r>
        <w:rPr>
          <w:rFonts w:cstheme="minorHAnsi"/>
          <w:i/>
          <w:iCs/>
        </w:rPr>
        <w:t>ECE</w:t>
      </w:r>
    </w:p>
    <w:p w14:paraId="6F17E23D" w14:textId="77777777" w:rsidR="00961725" w:rsidRDefault="00000000">
      <w:pPr>
        <w:pStyle w:val="Sansinterligne"/>
        <w:jc w:val="both"/>
        <w:rPr>
          <w:rFonts w:cstheme="minorHAnsi"/>
          <w:sz w:val="24"/>
        </w:rPr>
      </w:pPr>
      <w:r>
        <w:rPr>
          <w:rFonts w:cstheme="minorHAnsi"/>
          <w:sz w:val="24"/>
          <w:u w:val="single"/>
        </w:rPr>
        <w:lastRenderedPageBreak/>
        <w:t>Document 3</w:t>
      </w:r>
      <w:r>
        <w:rPr>
          <w:rFonts w:cstheme="minorHAnsi"/>
          <w:sz w:val="24"/>
        </w:rPr>
        <w:t xml:space="preserve"> : Photographie du plumage des 2 sous-populations de pouillots verdâtres du nord du plateau tibétain : le Pouillot </w:t>
      </w:r>
      <w:r>
        <w:rPr>
          <w:rFonts w:cstheme="minorHAnsi"/>
          <w:i/>
          <w:iCs/>
          <w:sz w:val="24"/>
        </w:rPr>
        <w:t>viridanus</w:t>
      </w:r>
      <w:r>
        <w:rPr>
          <w:rFonts w:cstheme="minorHAnsi"/>
          <w:sz w:val="24"/>
        </w:rPr>
        <w:t xml:space="preserve"> et le </w:t>
      </w:r>
      <w:bookmarkStart w:id="0" w:name="_Hlk216351339"/>
      <w:r>
        <w:rPr>
          <w:rFonts w:cstheme="minorHAnsi"/>
          <w:sz w:val="24"/>
        </w:rPr>
        <w:t xml:space="preserve">Pouillot </w:t>
      </w:r>
      <w:r>
        <w:rPr>
          <w:rFonts w:cstheme="minorHAnsi"/>
          <w:i/>
          <w:iCs/>
          <w:sz w:val="24"/>
        </w:rPr>
        <w:t>plumbeitarsus</w:t>
      </w:r>
      <w:bookmarkEnd w:id="0"/>
    </w:p>
    <w:p w14:paraId="024F21E5" w14:textId="77777777" w:rsidR="00961725" w:rsidRDefault="00961725">
      <w:pPr>
        <w:pStyle w:val="Sansinterligne"/>
        <w:jc w:val="both"/>
        <w:rPr>
          <w:rFonts w:cstheme="minorHAnsi"/>
          <w:sz w:val="24"/>
        </w:rPr>
      </w:pPr>
    </w:p>
    <w:p w14:paraId="30D40F9B" w14:textId="77777777" w:rsidR="00961725" w:rsidRDefault="00000000">
      <w:pPr>
        <w:pStyle w:val="Sansinterligne"/>
        <w:jc w:val="both"/>
        <w:rPr>
          <w:rFonts w:cstheme="minorHAnsi"/>
          <w:sz w:val="24"/>
        </w:rPr>
      </w:pPr>
      <w:r>
        <w:rPr>
          <w:rFonts w:cstheme="minorHAnsi"/>
          <w:sz w:val="24"/>
        </w:rPr>
        <w:t xml:space="preserve">Les barres alaires (précisées par des ronds rouges sur les photographies) du Pouillot verdâtre sont des ornements héréditaires dont le nombre et l’épaisseur varient selon les individus, permettant aux partenaires de se reconnaître. Lors de la parade, la femelle sélectionne pour son accouplement spécifiquement les mâles dont les bandes correspondent aux standards de son groupe d'origine. </w:t>
      </w:r>
    </w:p>
    <w:p w14:paraId="526776BD" w14:textId="77777777" w:rsidR="00961725" w:rsidRDefault="00961725">
      <w:pPr>
        <w:pStyle w:val="Sansinterligne"/>
        <w:rPr>
          <w:rFonts w:cstheme="minorHAnsi"/>
          <w:sz w:val="24"/>
        </w:rPr>
      </w:pPr>
    </w:p>
    <w:p w14:paraId="664321CD" w14:textId="77777777" w:rsidR="00961725" w:rsidRDefault="00000000">
      <w:pPr>
        <w:jc w:val="center"/>
        <w:rPr>
          <w:rFonts w:cstheme="minorHAnsi"/>
        </w:rPr>
      </w:pPr>
      <w:r>
        <w:rPr>
          <w:rFonts w:cstheme="minorHAnsi"/>
          <w:noProof/>
        </w:rPr>
        <mc:AlternateContent>
          <mc:Choice Requires="wpg">
            <w:drawing>
              <wp:inline distT="0" distB="0" distL="0" distR="0" wp14:anchorId="17B5DBD7" wp14:editId="36BF87B2">
                <wp:extent cx="3177766" cy="2195677"/>
                <wp:effectExtent l="19050" t="0" r="3584" b="0"/>
                <wp:docPr id="2" name="Image 2" descr="Une image contenant oiseau, bec, plein air, moin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oiseau, bec, plein air, moineau&#10;&#10;Description générée automatiquement"/>
                        <pic:cNvPicPr>
                          <a:picLocks noChangeAspect="1"/>
                        </pic:cNvPicPr>
                      </pic:nvPicPr>
                      <pic:blipFill rotWithShape="1">
                        <a:blip r:embed="rId10"/>
                        <a:srcRect t="2811"/>
                        <a:stretch/>
                      </pic:blipFill>
                      <pic:spPr bwMode="auto">
                        <a:xfrm>
                          <a:off x="0" y="0"/>
                          <a:ext cx="3209490" cy="2217597"/>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50.22pt;height:172.89pt;mso-wrap-distance-left:0.00pt;mso-wrap-distance-top:0.00pt;mso-wrap-distance-right:0.00pt;mso-wrap-distance-bottom:0.00pt;z-index:1;" stroked="f">
                <v:imagedata r:id="rId11" o:title="" croptop="1842f" cropleft="0f" cropbottom="0f" cropright="0f"/>
                <o:lock v:ext="edit" rotation="t"/>
              </v:shape>
            </w:pict>
          </mc:Fallback>
        </mc:AlternateContent>
      </w:r>
    </w:p>
    <w:p w14:paraId="387499F4" w14:textId="77777777" w:rsidR="00961725" w:rsidRDefault="00000000">
      <w:pPr>
        <w:jc w:val="right"/>
        <w:rPr>
          <w:rFonts w:cstheme="minorHAnsi"/>
          <w:bCs/>
          <w:i/>
          <w:color w:val="000000" w:themeColor="text1"/>
        </w:rPr>
      </w:pPr>
      <w:r>
        <w:rPr>
          <w:rFonts w:ascii="Arial" w:eastAsia="Arial" w:hAnsi="Arial" w:cs="Arial"/>
          <w:i/>
          <w:iCs/>
          <w:color w:val="000000" w:themeColor="text1"/>
          <w:sz w:val="17"/>
        </w:rPr>
        <w:t>Photographie de </w:t>
      </w:r>
      <w:hyperlink r:id="rId12" w:tooltip="http://www.zoology.ubc.ca/~irwin/GreenishWarblers.html" w:history="1">
        <w:r>
          <w:rPr>
            <w:rStyle w:val="Lienhypertexte"/>
            <w:rFonts w:ascii="Arial" w:eastAsia="Arial" w:hAnsi="Arial" w:cs="Arial"/>
            <w:i/>
            <w:iCs/>
            <w:color w:val="000000" w:themeColor="text1"/>
            <w:sz w:val="17"/>
          </w:rPr>
          <w:t>Irwin</w:t>
        </w:r>
      </w:hyperlink>
    </w:p>
    <w:p w14:paraId="6C42EF5E" w14:textId="77777777" w:rsidR="00961725" w:rsidRDefault="00961725">
      <w:pPr>
        <w:rPr>
          <w:rFonts w:cstheme="minorHAnsi"/>
          <w:u w:val="single"/>
        </w:rPr>
      </w:pPr>
    </w:p>
    <w:p w14:paraId="5EE5DF29" w14:textId="77777777" w:rsidR="00961725" w:rsidRDefault="00000000">
      <w:pPr>
        <w:jc w:val="both"/>
        <w:rPr>
          <w:rFonts w:cstheme="minorHAnsi"/>
        </w:rPr>
      </w:pPr>
      <w:r>
        <w:rPr>
          <w:rFonts w:cstheme="minorHAnsi"/>
          <w:u w:val="single"/>
        </w:rPr>
        <w:t>Document 4</w:t>
      </w:r>
      <w:r>
        <w:rPr>
          <w:rFonts w:cstheme="minorHAnsi"/>
        </w:rPr>
        <w:t xml:space="preserve"> : Séquences sonores des chants des 2 sous-populations de pouillots verdâtres mâles du nord du plateau tibétain : le Pouillot </w:t>
      </w:r>
      <w:r>
        <w:rPr>
          <w:rFonts w:cstheme="minorHAnsi"/>
          <w:i/>
          <w:iCs/>
        </w:rPr>
        <w:t>viridanus</w:t>
      </w:r>
      <w:r>
        <w:rPr>
          <w:rFonts w:cstheme="minorHAnsi"/>
        </w:rPr>
        <w:t xml:space="preserve"> et le Pouillot </w:t>
      </w:r>
      <w:r>
        <w:rPr>
          <w:rFonts w:cstheme="minorHAnsi"/>
          <w:i/>
          <w:iCs/>
        </w:rPr>
        <w:t>plumbeitarsus</w:t>
      </w:r>
    </w:p>
    <w:p w14:paraId="33AF0508" w14:textId="77777777" w:rsidR="00961725" w:rsidRDefault="00000000">
      <w:pPr>
        <w:jc w:val="both"/>
        <w:rPr>
          <w:bCs/>
        </w:rPr>
      </w:pPr>
      <w:r>
        <w:rPr>
          <w:bCs/>
        </w:rPr>
        <w:t>L'acceptation du chant par les femelles Pouillot repose sur une correspondance stricte entre la mélodie du mâle et le répertoire de la femelle. Ce signal sonore sert de filtre de sélection : si la structure, le rythme ou la fréquence s'écartent, le mâle est ignoré. Cette préférence de certains chants par les femelles Pouillot semble génétiquement héritée.</w:t>
      </w:r>
    </w:p>
    <w:p w14:paraId="5C60D547" w14:textId="77777777" w:rsidR="00961725" w:rsidRDefault="00000000">
      <w:pPr>
        <w:jc w:val="both"/>
        <w:rPr>
          <w:bCs/>
        </w:rPr>
      </w:pPr>
      <w:r>
        <w:rPr>
          <w:bCs/>
        </w:rPr>
        <w:t xml:space="preserve">Ci-dessous les spectrogrammes des enregistrements de chants des mâles chez quelques-unes des sous-populations de pouillots verdâtres. En ordonnées sont mesurées les fréquences émises en Hz (valeurs élevées : son aigu ; valeurs basses : son grave), en abscisse il s’agit du temps (4 secondes de durée d’enregistrement pour </w:t>
      </w:r>
      <w:r>
        <w:rPr>
          <w:bCs/>
          <w:i/>
          <w:iCs/>
        </w:rPr>
        <w:t>Viridanus</w:t>
      </w:r>
      <w:r>
        <w:rPr>
          <w:bCs/>
        </w:rPr>
        <w:t>).</w:t>
      </w:r>
    </w:p>
    <w:p w14:paraId="09E2E8AD" w14:textId="77777777" w:rsidR="00961725" w:rsidRDefault="00000000">
      <w:pPr>
        <w:rPr>
          <w:b/>
          <w:color w:val="00B0F0"/>
        </w:rPr>
      </w:pPr>
      <w:r>
        <w:rPr>
          <w:b/>
          <w:noProof/>
          <w:color w:val="00B0F0"/>
        </w:rPr>
        <mc:AlternateContent>
          <mc:Choice Requires="wpg">
            <w:drawing>
              <wp:inline distT="0" distB="0" distL="0" distR="0" wp14:anchorId="6CC5812B" wp14:editId="6FF92FBA">
                <wp:extent cx="6645910" cy="2309120"/>
                <wp:effectExtent l="19050" t="19050" r="21590" b="1524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3"/>
                        <a:srcRect t="26833"/>
                        <a:stretch/>
                      </pic:blipFill>
                      <pic:spPr bwMode="auto">
                        <a:xfrm>
                          <a:off x="0" y="0"/>
                          <a:ext cx="6645910" cy="2309120"/>
                        </a:xfrm>
                        <a:prstGeom prst="rect">
                          <a:avLst/>
                        </a:prstGeom>
                        <a:ln w="9525" cap="flat" cmpd="sng" algn="ctr">
                          <a:solidFill>
                            <a:sysClr val="windowText" lastClr="000000"/>
                          </a:solidFill>
                          <a:prstDash val="solid"/>
                          <a:round/>
                          <a:headEnd type="none" w="med" len="med"/>
                          <a:tailEnd type="none" w="med" len="med"/>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523.30pt;height:181.82pt;mso-wrap-distance-left:0.00pt;mso-wrap-distance-top:0.00pt;mso-wrap-distance-right:0.00pt;mso-wrap-distance-bottom:0.00pt;z-index:1;" strokecolor="#000000" strokeweight="0.75pt">
                <v:imagedata r:id="rId14" o:title="" croptop="17585f" cropleft="0f" cropbottom="0f" cropright="0f"/>
                <o:lock v:ext="edit" rotation="t"/>
              </v:shape>
            </w:pict>
          </mc:Fallback>
        </mc:AlternateContent>
      </w:r>
    </w:p>
    <w:p w14:paraId="6104ED31" w14:textId="77777777" w:rsidR="00961725" w:rsidRDefault="00961725">
      <w:pPr>
        <w:rPr>
          <w:b/>
          <w:color w:val="00B0F0"/>
        </w:rPr>
      </w:pPr>
    </w:p>
    <w:p w14:paraId="150C616C" w14:textId="77777777" w:rsidR="00961725" w:rsidRDefault="00961725">
      <w:pPr>
        <w:rPr>
          <w:b/>
          <w:color w:val="00B0F0"/>
        </w:rPr>
      </w:pPr>
    </w:p>
    <w:p w14:paraId="17021FF0" w14:textId="77777777" w:rsidR="00961725" w:rsidRDefault="00961725">
      <w:pPr>
        <w:rPr>
          <w:b/>
          <w:color w:val="00B0F0"/>
        </w:rPr>
      </w:pPr>
    </w:p>
    <w:p w14:paraId="478FFA67" w14:textId="77777777" w:rsidR="00961725" w:rsidRDefault="00961725">
      <w:pPr>
        <w:rPr>
          <w:b/>
          <w:color w:val="00B0F0"/>
        </w:rPr>
      </w:pPr>
    </w:p>
    <w:p w14:paraId="79860E71" w14:textId="77777777" w:rsidR="00961725" w:rsidRDefault="00000000">
      <w:r>
        <w:rPr>
          <w:b/>
          <w:color w:val="00B0F0"/>
        </w:rPr>
        <w:lastRenderedPageBreak/>
        <w:t xml:space="preserve">Critères de réussite de la compétence travaillée </w:t>
      </w:r>
      <w:r>
        <w:t xml:space="preserve">: </w:t>
      </w:r>
    </w:p>
    <w:p w14:paraId="26E4FAC4" w14:textId="77777777" w:rsidR="00961725" w:rsidRDefault="00000000">
      <w:pPr>
        <w:pStyle w:val="Paragraphedeliste"/>
        <w:numPr>
          <w:ilvl w:val="0"/>
          <w:numId w:val="6"/>
        </w:numPr>
        <w:spacing w:after="0" w:line="240" w:lineRule="auto"/>
        <w:rPr>
          <w:u w:val="single"/>
        </w:rPr>
      </w:pPr>
      <w:r>
        <w:rPr>
          <w:u w:val="single"/>
        </w:rPr>
        <w:t>Construire un texte argumenté (= texte explicatif où les idées clés sont associées à au moins un argument scientifique)</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961725" w14:paraId="4A61484F"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3974F277" w14:textId="77777777" w:rsidR="00961725" w:rsidRDefault="00000000">
            <w:pPr>
              <w:spacing w:after="0" w:line="240" w:lineRule="auto"/>
              <w:jc w:val="center"/>
              <w:rPr>
                <w:rFonts w:ascii="Arial" w:hAnsi="Arial" w:cs="Arial"/>
                <w:b/>
                <w:sz w:val="20"/>
                <w:szCs w:val="20"/>
              </w:rPr>
            </w:pPr>
            <w:r>
              <w:rPr>
                <w:rFonts w:ascii="Arial" w:hAnsi="Arial" w:cs="Arial"/>
                <w:b/>
                <w:sz w:val="20"/>
                <w:szCs w:val="20"/>
              </w:rPr>
              <w:t xml:space="preserve">Je réussis si : </w:t>
            </w:r>
          </w:p>
          <w:p w14:paraId="5686A116" w14:textId="77777777" w:rsidR="00961725" w:rsidRDefault="00000000">
            <w:pPr>
              <w:spacing w:after="0" w:line="240" w:lineRule="auto"/>
              <w:jc w:val="right"/>
              <w:rPr>
                <w:rFonts w:ascii="Arial" w:hAnsi="Arial" w:cs="Arial"/>
                <w:b/>
                <w:sz w:val="20"/>
                <w:szCs w:val="20"/>
              </w:rPr>
            </w:pPr>
            <w:r>
              <w:rPr>
                <w:rFonts w:ascii="Arial" w:hAnsi="Arial" w:cs="Arial"/>
                <w:b/>
                <w:sz w:val="20"/>
                <w:szCs w:val="20"/>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05DEAB60" w14:textId="77777777" w:rsidR="00961725" w:rsidRDefault="00000000">
            <w:pPr>
              <w:spacing w:after="0" w:line="240" w:lineRule="auto"/>
              <w:jc w:val="center"/>
              <w:rPr>
                <w:rFonts w:ascii="Arial" w:hAnsi="Arial" w:cs="Arial"/>
                <w:b/>
                <w:sz w:val="20"/>
                <w:szCs w:val="20"/>
              </w:rPr>
            </w:pPr>
            <w:r>
              <w:rPr>
                <w:rFonts w:ascii="Arial" w:hAnsi="Arial" w:cs="Arial"/>
                <w:b/>
                <w:sz w:val="20"/>
                <w:szCs w:val="20"/>
              </w:rPr>
              <w:t>Evaluation</w:t>
            </w:r>
          </w:p>
        </w:tc>
      </w:tr>
      <w:tr w:rsidR="00961725" w14:paraId="2F5AD9A9"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111FCEA7" w14:textId="77777777" w:rsidR="00961725" w:rsidRDefault="00000000">
            <w:pPr>
              <w:pStyle w:val="TableParagraph"/>
              <w:ind w:left="85" w:right="105"/>
            </w:pPr>
            <w:r>
              <w:rPr>
                <w:u w:val="single"/>
              </w:rPr>
              <w:t>PERTINENCE :</w:t>
            </w:r>
            <w:r>
              <w:t xml:space="preserve"> J’utilise uniquement les arguments </w:t>
            </w:r>
            <w:r>
              <w:rPr>
                <w:b/>
              </w:rPr>
              <w:t xml:space="preserve">utiles </w:t>
            </w:r>
            <w:r>
              <w:t xml:space="preserve">et je les </w:t>
            </w:r>
            <w:r>
              <w:rPr>
                <w:b/>
              </w:rPr>
              <w:t>associe (mets en relation) aux idées-clés</w:t>
            </w:r>
            <w:r>
              <w:t>. J’enchaine</w:t>
            </w:r>
            <w:r>
              <w:rPr>
                <w:spacing w:val="-7"/>
              </w:rPr>
              <w:t xml:space="preserve"> </w:t>
            </w:r>
            <w:r>
              <w:t>ces</w:t>
            </w:r>
            <w:r>
              <w:rPr>
                <w:spacing w:val="-7"/>
              </w:rPr>
              <w:t xml:space="preserve"> </w:t>
            </w:r>
            <w:r>
              <w:t>dernières</w:t>
            </w:r>
            <w:r>
              <w:rPr>
                <w:spacing w:val="-7"/>
              </w:rPr>
              <w:t xml:space="preserve"> </w:t>
            </w:r>
            <w:r>
              <w:t>de</w:t>
            </w:r>
            <w:r>
              <w:rPr>
                <w:spacing w:val="-7"/>
              </w:rPr>
              <w:t xml:space="preserve"> </w:t>
            </w:r>
            <w:r>
              <w:t>façon</w:t>
            </w:r>
            <w:r>
              <w:rPr>
                <w:spacing w:val="-7"/>
              </w:rPr>
              <w:t xml:space="preserve"> </w:t>
            </w:r>
            <w:r>
              <w:rPr>
                <w:b/>
              </w:rPr>
              <w:t>logique</w:t>
            </w:r>
            <w:r>
              <w:rPr>
                <w:b/>
                <w:spacing w:val="-7"/>
              </w:rPr>
              <w:t xml:space="preserve"> </w:t>
            </w:r>
            <w:r>
              <w:rPr>
                <w:b/>
              </w:rPr>
              <w:t>(connecteurs</w:t>
            </w:r>
            <w:r>
              <w:rPr>
                <w:b/>
                <w:spacing w:val="-7"/>
              </w:rPr>
              <w:t xml:space="preserve"> </w:t>
            </w:r>
            <w:r>
              <w:rPr>
                <w:b/>
              </w:rPr>
              <w:t>logiques corrects)</w:t>
            </w:r>
            <w:r>
              <w:rPr>
                <w:b/>
                <w:spacing w:val="-7"/>
              </w:rPr>
              <w:t xml:space="preserve"> </w:t>
            </w:r>
            <w:r>
              <w:t>pour</w:t>
            </w:r>
            <w:r>
              <w:rPr>
                <w:spacing w:val="-7"/>
              </w:rPr>
              <w:t xml:space="preserve"> </w:t>
            </w:r>
            <w:r>
              <w:t>répondre</w:t>
            </w:r>
            <w:r>
              <w:rPr>
                <w:spacing w:val="-7"/>
              </w:rPr>
              <w:t xml:space="preserve"> </w:t>
            </w:r>
            <w:r>
              <w:t>de</w:t>
            </w:r>
            <w:r>
              <w:rPr>
                <w:spacing w:val="-7"/>
              </w:rPr>
              <w:t xml:space="preserve"> </w:t>
            </w:r>
            <w:r>
              <w:t>façon</w:t>
            </w:r>
            <w:r>
              <w:rPr>
                <w:spacing w:val="-7"/>
              </w:rPr>
              <w:t xml:space="preserve"> </w:t>
            </w:r>
            <w:r>
              <w:t>cohérente au problème. Pas de hors-sujet.</w:t>
            </w:r>
          </w:p>
        </w:tc>
        <w:tc>
          <w:tcPr>
            <w:tcW w:w="1503" w:type="dxa"/>
            <w:tcBorders>
              <w:top w:val="single" w:sz="4" w:space="0" w:color="auto"/>
              <w:left w:val="single" w:sz="4" w:space="0" w:color="auto"/>
              <w:bottom w:val="single" w:sz="4" w:space="0" w:color="auto"/>
              <w:right w:val="single" w:sz="4" w:space="0" w:color="auto"/>
            </w:tcBorders>
          </w:tcPr>
          <w:p w14:paraId="0C4788E1" w14:textId="77777777" w:rsidR="00961725" w:rsidRDefault="00961725">
            <w:pPr>
              <w:spacing w:after="0" w:line="240" w:lineRule="auto"/>
              <w:jc w:val="center"/>
              <w:rPr>
                <w:rFonts w:ascii="Arial" w:hAnsi="Arial" w:cs="Arial"/>
                <w:sz w:val="20"/>
                <w:szCs w:val="20"/>
              </w:rPr>
            </w:pPr>
          </w:p>
        </w:tc>
      </w:tr>
      <w:tr w:rsidR="00961725" w14:paraId="7DEE451C"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4B5CEB88" w14:textId="77777777" w:rsidR="00961725" w:rsidRDefault="00000000">
            <w:pPr>
              <w:pStyle w:val="TableParagraph"/>
              <w:ind w:left="85"/>
            </w:pPr>
            <w:r>
              <w:rPr>
                <w:u w:val="single"/>
              </w:rPr>
              <w:t>COMPLETUDE</w:t>
            </w:r>
            <w:r>
              <w:rPr>
                <w:spacing w:val="-7"/>
                <w:u w:val="single"/>
              </w:rPr>
              <w:t xml:space="preserve"> </w:t>
            </w:r>
            <w:r>
              <w:rPr>
                <w:u w:val="single"/>
              </w:rPr>
              <w:t>:</w:t>
            </w:r>
            <w:r>
              <w:rPr>
                <w:spacing w:val="-6"/>
              </w:rPr>
              <w:t xml:space="preserve"> </w:t>
            </w:r>
            <w:r>
              <w:t>J’ai identifié dans mon texte</w:t>
            </w:r>
            <w:r>
              <w:rPr>
                <w:spacing w:val="-6"/>
              </w:rPr>
              <w:t xml:space="preserve"> </w:t>
            </w:r>
            <w:r>
              <w:rPr>
                <w:b/>
              </w:rPr>
              <w:t>toutes</w:t>
            </w:r>
            <w:r>
              <w:rPr>
                <w:b/>
                <w:spacing w:val="-7"/>
              </w:rPr>
              <w:t xml:space="preserve"> </w:t>
            </w:r>
            <w:r>
              <w:t>les</w:t>
            </w:r>
            <w:r>
              <w:rPr>
                <w:spacing w:val="-6"/>
              </w:rPr>
              <w:t xml:space="preserve"> </w:t>
            </w:r>
            <w:r>
              <w:t>idées-clé</w:t>
            </w:r>
            <w:r>
              <w:rPr>
                <w:spacing w:val="-6"/>
              </w:rPr>
              <w:t xml:space="preserve"> </w:t>
            </w:r>
            <w:r>
              <w:t>et</w:t>
            </w:r>
            <w:r>
              <w:rPr>
                <w:spacing w:val="-6"/>
              </w:rPr>
              <w:t xml:space="preserve"> </w:t>
            </w:r>
            <w:r>
              <w:t>arguments</w:t>
            </w:r>
            <w:r>
              <w:rPr>
                <w:spacing w:val="-6"/>
              </w:rPr>
              <w:t xml:space="preserve"> </w:t>
            </w:r>
            <w:r>
              <w:t>utiles</w:t>
            </w:r>
            <w:r>
              <w:rPr>
                <w:spacing w:val="-6"/>
              </w:rPr>
              <w:t xml:space="preserve"> </w:t>
            </w:r>
            <w:r>
              <w:t>(issus</w:t>
            </w:r>
            <w:r>
              <w:rPr>
                <w:spacing w:val="-6"/>
              </w:rPr>
              <w:t xml:space="preserve"> </w:t>
            </w:r>
            <w:r>
              <w:t>des</w:t>
            </w:r>
            <w:r>
              <w:rPr>
                <w:spacing w:val="-6"/>
              </w:rPr>
              <w:t xml:space="preserve"> </w:t>
            </w:r>
            <w:r>
              <w:t>documents).</w:t>
            </w:r>
            <w:r>
              <w:rPr>
                <w:spacing w:val="-6"/>
              </w:rPr>
              <w:t xml:space="preserve"> </w:t>
            </w:r>
            <w:r>
              <w:t>J’ai</w:t>
            </w:r>
            <w:r>
              <w:rPr>
                <w:spacing w:val="-6"/>
              </w:rPr>
              <w:t xml:space="preserve"> </w:t>
            </w:r>
            <w:r>
              <w:t>mobilisé</w:t>
            </w:r>
            <w:r>
              <w:rPr>
                <w:spacing w:val="-6"/>
              </w:rPr>
              <w:t xml:space="preserve"> </w:t>
            </w:r>
            <w:r>
              <w:t>toutes</w:t>
            </w:r>
            <w:r>
              <w:rPr>
                <w:spacing w:val="-6"/>
              </w:rPr>
              <w:t xml:space="preserve"> </w:t>
            </w:r>
            <w:r>
              <w:t>les connaissances personnelles nécessaires.</w:t>
            </w:r>
          </w:p>
        </w:tc>
        <w:tc>
          <w:tcPr>
            <w:tcW w:w="1503" w:type="dxa"/>
            <w:tcBorders>
              <w:top w:val="single" w:sz="4" w:space="0" w:color="auto"/>
              <w:left w:val="single" w:sz="4" w:space="0" w:color="auto"/>
              <w:bottom w:val="single" w:sz="4" w:space="0" w:color="auto"/>
              <w:right w:val="single" w:sz="4" w:space="0" w:color="auto"/>
            </w:tcBorders>
          </w:tcPr>
          <w:p w14:paraId="46C490A8" w14:textId="77777777" w:rsidR="00961725" w:rsidRDefault="00961725">
            <w:pPr>
              <w:spacing w:after="0" w:line="240" w:lineRule="auto"/>
              <w:jc w:val="center"/>
              <w:rPr>
                <w:rFonts w:ascii="Arial" w:hAnsi="Arial" w:cs="Arial"/>
                <w:sz w:val="20"/>
                <w:szCs w:val="20"/>
              </w:rPr>
            </w:pPr>
          </w:p>
        </w:tc>
      </w:tr>
      <w:tr w:rsidR="00961725" w14:paraId="08F786A9"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38DE3956" w14:textId="77777777" w:rsidR="00961725" w:rsidRDefault="00000000">
            <w:pPr>
              <w:pStyle w:val="TableParagraph"/>
              <w:ind w:left="85"/>
              <w:rPr>
                <w:b/>
              </w:rPr>
            </w:pPr>
            <w:r>
              <w:rPr>
                <w:u w:val="single"/>
              </w:rPr>
              <w:t>EXACTITUDE</w:t>
            </w:r>
            <w:r>
              <w:rPr>
                <w:spacing w:val="-2"/>
                <w:u w:val="single"/>
              </w:rPr>
              <w:t xml:space="preserve"> </w:t>
            </w:r>
            <w:r>
              <w:rPr>
                <w:u w:val="single"/>
              </w:rPr>
              <w:t>:</w:t>
            </w:r>
            <w:r>
              <w:t xml:space="preserve"> Je</w:t>
            </w:r>
            <w:r>
              <w:rPr>
                <w:spacing w:val="-2"/>
              </w:rPr>
              <w:t xml:space="preserve"> </w:t>
            </w:r>
            <w:r>
              <w:t>suis</w:t>
            </w:r>
            <w:r>
              <w:rPr>
                <w:spacing w:val="-1"/>
              </w:rPr>
              <w:t xml:space="preserve"> </w:t>
            </w:r>
            <w:r>
              <w:rPr>
                <w:b/>
                <w:spacing w:val="-2"/>
              </w:rPr>
              <w:t>rigoureux /rigoureuse</w:t>
            </w:r>
          </w:p>
          <w:p w14:paraId="404A5CF4" w14:textId="77777777" w:rsidR="00961725" w:rsidRDefault="00000000">
            <w:pPr>
              <w:pStyle w:val="TableParagraph"/>
              <w:numPr>
                <w:ilvl w:val="0"/>
                <w:numId w:val="7"/>
              </w:numPr>
              <w:tabs>
                <w:tab w:val="left" w:pos="805"/>
              </w:tabs>
            </w:pPr>
            <w:r>
              <w:t>quantification</w:t>
            </w:r>
            <w:r>
              <w:rPr>
                <w:spacing w:val="-6"/>
              </w:rPr>
              <w:t xml:space="preserve"> </w:t>
            </w:r>
            <w:r>
              <w:t>des</w:t>
            </w:r>
            <w:r>
              <w:rPr>
                <w:spacing w:val="-5"/>
              </w:rPr>
              <w:t xml:space="preserve"> </w:t>
            </w:r>
            <w:r>
              <w:t>données</w:t>
            </w:r>
            <w:r>
              <w:rPr>
                <w:spacing w:val="-5"/>
              </w:rPr>
              <w:t xml:space="preserve"> </w:t>
            </w:r>
            <w:r>
              <w:t>si</w:t>
            </w:r>
            <w:r>
              <w:rPr>
                <w:spacing w:val="-5"/>
              </w:rPr>
              <w:t xml:space="preserve"> </w:t>
            </w:r>
            <w:r>
              <w:rPr>
                <w:spacing w:val="-2"/>
              </w:rPr>
              <w:t>possible.</w:t>
            </w:r>
          </w:p>
          <w:p w14:paraId="7FDCC5C4" w14:textId="77777777" w:rsidR="00961725" w:rsidRDefault="00000000">
            <w:pPr>
              <w:pStyle w:val="TableParagraph"/>
              <w:numPr>
                <w:ilvl w:val="0"/>
                <w:numId w:val="7"/>
              </w:numPr>
              <w:tabs>
                <w:tab w:val="left" w:pos="805"/>
              </w:tabs>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539BFB32" w14:textId="77777777" w:rsidR="00961725" w:rsidRDefault="00000000">
            <w:pPr>
              <w:pStyle w:val="TableParagraph"/>
              <w:numPr>
                <w:ilvl w:val="0"/>
                <w:numId w:val="7"/>
              </w:numPr>
              <w:tabs>
                <w:tab w:val="left" w:pos="805"/>
              </w:tabs>
              <w:rPr>
                <w:b/>
              </w:rPr>
            </w:pPr>
            <w:r>
              <w:rPr>
                <w:b/>
              </w:rPr>
              <w:t>sans</w:t>
            </w:r>
            <w:r>
              <w:rPr>
                <w:b/>
                <w:spacing w:val="-5"/>
              </w:rPr>
              <w:t xml:space="preserve"> </w:t>
            </w:r>
            <w:r>
              <w:rPr>
                <w:b/>
              </w:rPr>
              <w:t>déformation</w:t>
            </w:r>
            <w:r>
              <w:rPr>
                <w:b/>
                <w:spacing w:val="-3"/>
              </w:rPr>
              <w:t xml:space="preserve"> </w:t>
            </w:r>
            <w:r>
              <w:rPr>
                <w:b/>
              </w:rPr>
              <w:t>ni</w:t>
            </w:r>
            <w:r>
              <w:rPr>
                <w:b/>
                <w:spacing w:val="-4"/>
              </w:rPr>
              <w:t xml:space="preserve"> </w:t>
            </w:r>
            <w:r>
              <w:rPr>
                <w:b/>
              </w:rPr>
              <w:t>erreur</w:t>
            </w:r>
            <w:r>
              <w:rPr>
                <w:b/>
                <w:spacing w:val="-2"/>
              </w:rPr>
              <w:t>.</w:t>
            </w:r>
          </w:p>
        </w:tc>
        <w:tc>
          <w:tcPr>
            <w:tcW w:w="1503" w:type="dxa"/>
            <w:tcBorders>
              <w:top w:val="single" w:sz="4" w:space="0" w:color="auto"/>
              <w:left w:val="single" w:sz="4" w:space="0" w:color="auto"/>
              <w:bottom w:val="single" w:sz="4" w:space="0" w:color="auto"/>
              <w:right w:val="single" w:sz="4" w:space="0" w:color="auto"/>
            </w:tcBorders>
          </w:tcPr>
          <w:p w14:paraId="220084E8" w14:textId="77777777" w:rsidR="00961725" w:rsidRDefault="00961725">
            <w:pPr>
              <w:spacing w:after="0" w:line="240" w:lineRule="auto"/>
              <w:jc w:val="center"/>
              <w:rPr>
                <w:rFonts w:ascii="Arial" w:hAnsi="Arial" w:cs="Arial"/>
                <w:sz w:val="20"/>
                <w:szCs w:val="20"/>
              </w:rPr>
            </w:pPr>
          </w:p>
        </w:tc>
      </w:tr>
      <w:tr w:rsidR="00961725" w14:paraId="267861B7" w14:textId="77777777">
        <w:trPr>
          <w:trHeight w:val="281"/>
        </w:trPr>
        <w:tc>
          <w:tcPr>
            <w:tcW w:w="8562" w:type="dxa"/>
            <w:tcBorders>
              <w:top w:val="single" w:sz="4" w:space="0" w:color="auto"/>
              <w:left w:val="single" w:sz="4" w:space="0" w:color="auto"/>
              <w:bottom w:val="single" w:sz="4" w:space="0" w:color="auto"/>
              <w:right w:val="single" w:sz="4" w:space="0" w:color="auto"/>
            </w:tcBorders>
          </w:tcPr>
          <w:p w14:paraId="1AF5B4B9" w14:textId="77777777" w:rsidR="00961725" w:rsidRDefault="00000000">
            <w:pPr>
              <w:pStyle w:val="TableParagraph"/>
              <w:spacing w:line="240" w:lineRule="exact"/>
              <w:ind w:left="85"/>
            </w:pPr>
            <w:r>
              <w:rPr>
                <w:u w:val="single"/>
              </w:rPr>
              <w:t>CONFORMITE</w:t>
            </w:r>
            <w:r>
              <w:rPr>
                <w:spacing w:val="-4"/>
                <w:u w:val="single"/>
              </w:rPr>
              <w:t xml:space="preserve"> </w:t>
            </w:r>
            <w:r>
              <w:rPr>
                <w:u w:val="single"/>
              </w:rPr>
              <w:t>:</w:t>
            </w:r>
            <w:r>
              <w:rPr>
                <w:spacing w:val="-4"/>
              </w:rPr>
              <w:t xml:space="preserve"> </w:t>
            </w:r>
            <w:r>
              <w:t>J’ai</w:t>
            </w:r>
            <w:r>
              <w:rPr>
                <w:spacing w:val="-4"/>
              </w:rPr>
              <w:t xml:space="preserve"> </w:t>
            </w:r>
            <w:r>
              <w:rPr>
                <w:b/>
              </w:rPr>
              <w:t>structuré</w:t>
            </w:r>
            <w:r>
              <w:rPr>
                <w:b/>
                <w:spacing w:val="-5"/>
              </w:rPr>
              <w:t xml:space="preserve"> </w:t>
            </w:r>
            <w:r>
              <w:t>mon</w:t>
            </w:r>
            <w:r>
              <w:rPr>
                <w:spacing w:val="-3"/>
              </w:rPr>
              <w:t xml:space="preserve"> </w:t>
            </w:r>
            <w:r>
              <w:t>écrit</w:t>
            </w:r>
            <w:r>
              <w:rPr>
                <w:spacing w:val="-4"/>
              </w:rPr>
              <w:t xml:space="preserve"> </w:t>
            </w:r>
            <w:r>
              <w:t>afin</w:t>
            </w:r>
            <w:r>
              <w:rPr>
                <w:spacing w:val="-4"/>
              </w:rPr>
              <w:t xml:space="preserve"> </w:t>
            </w:r>
            <w:r>
              <w:t>de</w:t>
            </w:r>
            <w:r>
              <w:rPr>
                <w:spacing w:val="-4"/>
              </w:rPr>
              <w:t xml:space="preserve"> </w:t>
            </w:r>
            <w:r>
              <w:t>faciliter</w:t>
            </w:r>
            <w:r>
              <w:rPr>
                <w:spacing w:val="-4"/>
              </w:rPr>
              <w:t xml:space="preserve"> </w:t>
            </w:r>
            <w:r>
              <w:t>sa</w:t>
            </w:r>
            <w:r>
              <w:rPr>
                <w:spacing w:val="-3"/>
              </w:rPr>
              <w:t xml:space="preserve"> </w:t>
            </w:r>
            <w:r>
              <w:t>lecture</w:t>
            </w:r>
            <w:r>
              <w:rPr>
                <w:spacing w:val="-4"/>
              </w:rPr>
              <w:t xml:space="preserve"> </w:t>
            </w:r>
            <w:r>
              <w:t>et</w:t>
            </w:r>
            <w:r>
              <w:rPr>
                <w:spacing w:val="-4"/>
              </w:rPr>
              <w:t xml:space="preserve"> </w:t>
            </w:r>
            <w:r>
              <w:t>sa</w:t>
            </w:r>
            <w:r>
              <w:rPr>
                <w:spacing w:val="-4"/>
              </w:rPr>
              <w:t xml:space="preserve"> </w:t>
            </w:r>
            <w:r>
              <w:rPr>
                <w:spacing w:val="-2"/>
              </w:rPr>
              <w:t>compréhension :</w:t>
            </w:r>
          </w:p>
          <w:p w14:paraId="5F22E0F1" w14:textId="77777777" w:rsidR="00961725" w:rsidRDefault="00000000">
            <w:pPr>
              <w:pStyle w:val="TableParagraph"/>
              <w:numPr>
                <w:ilvl w:val="0"/>
                <w:numId w:val="8"/>
              </w:numPr>
              <w:tabs>
                <w:tab w:val="left" w:pos="805"/>
              </w:tabs>
              <w:spacing w:line="260" w:lineRule="exact"/>
            </w:pPr>
            <w:r>
              <w:t>une</w:t>
            </w:r>
            <w:r>
              <w:rPr>
                <w:spacing w:val="-6"/>
              </w:rPr>
              <w:t xml:space="preserve"> </w:t>
            </w:r>
            <w:r>
              <w:t>phrase</w:t>
            </w:r>
            <w:r>
              <w:rPr>
                <w:spacing w:val="-6"/>
              </w:rPr>
              <w:t xml:space="preserve"> </w:t>
            </w:r>
            <w:r>
              <w:t>introduisant</w:t>
            </w:r>
            <w:r>
              <w:rPr>
                <w:spacing w:val="-5"/>
              </w:rPr>
              <w:t xml:space="preserve"> </w:t>
            </w:r>
            <w:r>
              <w:rPr>
                <w:spacing w:val="-2"/>
              </w:rPr>
              <w:t>l’objectif.</w:t>
            </w:r>
          </w:p>
          <w:p w14:paraId="581C5F2E" w14:textId="77777777" w:rsidR="00961725" w:rsidRDefault="00000000">
            <w:pPr>
              <w:pStyle w:val="TableParagraph"/>
              <w:numPr>
                <w:ilvl w:val="0"/>
                <w:numId w:val="8"/>
              </w:numPr>
              <w:tabs>
                <w:tab w:val="left" w:pos="805"/>
              </w:tabs>
              <w:spacing w:line="260" w:lineRule="exact"/>
            </w:pPr>
            <w:r>
              <w:t>un</w:t>
            </w:r>
            <w:r>
              <w:rPr>
                <w:spacing w:val="-5"/>
              </w:rPr>
              <w:t xml:space="preserve"> </w:t>
            </w:r>
            <w:r>
              <w:t>développement</w:t>
            </w:r>
            <w:r>
              <w:rPr>
                <w:spacing w:val="-5"/>
              </w:rPr>
              <w:t xml:space="preserve"> </w:t>
            </w:r>
            <w:r>
              <w:t>(un</w:t>
            </w:r>
            <w:r>
              <w:rPr>
                <w:spacing w:val="-4"/>
              </w:rPr>
              <w:t xml:space="preserve"> </w:t>
            </w:r>
            <w:r>
              <w:t>paragraphe</w:t>
            </w:r>
            <w:r>
              <w:rPr>
                <w:spacing w:val="-5"/>
              </w:rPr>
              <w:t xml:space="preserve"> </w:t>
            </w:r>
            <w:r>
              <w:t>argumenté</w:t>
            </w:r>
            <w:r>
              <w:rPr>
                <w:spacing w:val="-5"/>
              </w:rPr>
              <w:t xml:space="preserve"> </w:t>
            </w:r>
            <w:r>
              <w:t>par</w:t>
            </w:r>
            <w:r>
              <w:rPr>
                <w:spacing w:val="-4"/>
              </w:rPr>
              <w:t xml:space="preserve"> </w:t>
            </w:r>
            <w:r>
              <w:t>idée-clé</w:t>
            </w:r>
            <w:r>
              <w:rPr>
                <w:spacing w:val="-5"/>
              </w:rPr>
              <w:t xml:space="preserve"> </w:t>
            </w:r>
            <w:r>
              <w:t>développée</w:t>
            </w:r>
            <w:r>
              <w:rPr>
                <w:spacing w:val="-5"/>
              </w:rPr>
              <w:t xml:space="preserve"> </w:t>
            </w:r>
            <w:r>
              <w:t>+</w:t>
            </w:r>
            <w:r>
              <w:rPr>
                <w:spacing w:val="-4"/>
              </w:rPr>
              <w:t xml:space="preserve"> </w:t>
            </w:r>
            <w:r>
              <w:t>illustrations</w:t>
            </w:r>
            <w:r>
              <w:rPr>
                <w:spacing w:val="-5"/>
              </w:rPr>
              <w:t xml:space="preserve"> </w:t>
            </w:r>
            <w:r>
              <w:rPr>
                <w:spacing w:val="-2"/>
              </w:rPr>
              <w:t>possibles).</w:t>
            </w:r>
          </w:p>
          <w:p w14:paraId="537C5B8D" w14:textId="77777777" w:rsidR="00961725" w:rsidRDefault="00000000">
            <w:pPr>
              <w:pStyle w:val="TableParagraph"/>
              <w:numPr>
                <w:ilvl w:val="0"/>
                <w:numId w:val="8"/>
              </w:numPr>
              <w:tabs>
                <w:tab w:val="left" w:pos="805"/>
              </w:tabs>
              <w:spacing w:line="260" w:lineRule="exact"/>
            </w:pPr>
            <w:r>
              <w:t>une</w:t>
            </w:r>
            <w:r>
              <w:rPr>
                <w:spacing w:val="-3"/>
              </w:rPr>
              <w:t xml:space="preserve"> </w:t>
            </w:r>
            <w:r>
              <w:t>petite</w:t>
            </w:r>
            <w:r>
              <w:rPr>
                <w:spacing w:val="-3"/>
              </w:rPr>
              <w:t xml:space="preserve"> </w:t>
            </w:r>
            <w:r>
              <w:t>conclusion</w:t>
            </w:r>
            <w:r>
              <w:rPr>
                <w:spacing w:val="-3"/>
              </w:rPr>
              <w:t xml:space="preserve"> </w:t>
            </w:r>
            <w:r>
              <w:t>donnant</w:t>
            </w:r>
            <w:r>
              <w:rPr>
                <w:spacing w:val="-2"/>
              </w:rPr>
              <w:t xml:space="preserve"> </w:t>
            </w:r>
            <w:r>
              <w:t>la</w:t>
            </w:r>
            <w:r>
              <w:rPr>
                <w:spacing w:val="-3"/>
              </w:rPr>
              <w:t xml:space="preserve"> </w:t>
            </w:r>
            <w:r>
              <w:rPr>
                <w:spacing w:val="-2"/>
              </w:rPr>
              <w:t>réponse.</w:t>
            </w:r>
          </w:p>
          <w:p w14:paraId="64D10304" w14:textId="77777777" w:rsidR="00961725" w:rsidRDefault="00000000">
            <w:pPr>
              <w:pStyle w:val="TableParagraph"/>
              <w:spacing w:line="264" w:lineRule="exact"/>
              <w:ind w:left="85"/>
            </w:pPr>
            <w:r>
              <w:t>et</w:t>
            </w:r>
            <w:r>
              <w:rPr>
                <w:spacing w:val="-6"/>
              </w:rPr>
              <w:t xml:space="preserve"> </w:t>
            </w:r>
            <w:r>
              <w:t>je</w:t>
            </w:r>
            <w:r>
              <w:rPr>
                <w:spacing w:val="-6"/>
              </w:rPr>
              <w:t xml:space="preserve"> </w:t>
            </w:r>
            <w:r>
              <w:t>maitrise</w:t>
            </w:r>
            <w:r>
              <w:rPr>
                <w:spacing w:val="-5"/>
              </w:rPr>
              <w:t xml:space="preserve"> </w:t>
            </w:r>
            <w:r>
              <w:t>la</w:t>
            </w:r>
            <w:r>
              <w:rPr>
                <w:spacing w:val="-7"/>
              </w:rPr>
              <w:t xml:space="preserve"> </w:t>
            </w:r>
            <w:r>
              <w:rPr>
                <w:b/>
              </w:rPr>
              <w:t>langue</w:t>
            </w:r>
            <w:r>
              <w:rPr>
                <w:b/>
                <w:spacing w:val="-6"/>
              </w:rPr>
              <w:t xml:space="preserve"> </w:t>
            </w:r>
            <w:r>
              <w:rPr>
                <w:b/>
              </w:rPr>
              <w:t>française</w:t>
            </w:r>
            <w:r>
              <w:rPr>
                <w:b/>
                <w:spacing w:val="-4"/>
              </w:rPr>
              <w:t xml:space="preserve"> </w:t>
            </w:r>
            <w:r>
              <w:t>(orthographe,</w:t>
            </w:r>
            <w:r>
              <w:rPr>
                <w:spacing w:val="-6"/>
              </w:rPr>
              <w:t xml:space="preserve"> </w:t>
            </w:r>
            <w:r>
              <w:t>syntaxe,</w:t>
            </w:r>
            <w:r>
              <w:rPr>
                <w:spacing w:val="-5"/>
              </w:rPr>
              <w:t xml:space="preserve"> </w:t>
            </w:r>
            <w:r>
              <w:rPr>
                <w:spacing w:val="-2"/>
              </w:rPr>
              <w:t>grammaire).</w:t>
            </w:r>
          </w:p>
        </w:tc>
        <w:tc>
          <w:tcPr>
            <w:tcW w:w="1503" w:type="dxa"/>
            <w:tcBorders>
              <w:top w:val="single" w:sz="4" w:space="0" w:color="auto"/>
              <w:left w:val="single" w:sz="4" w:space="0" w:color="auto"/>
              <w:bottom w:val="single" w:sz="4" w:space="0" w:color="auto"/>
              <w:right w:val="single" w:sz="4" w:space="0" w:color="auto"/>
            </w:tcBorders>
          </w:tcPr>
          <w:p w14:paraId="416DA5A4" w14:textId="77777777" w:rsidR="00961725" w:rsidRDefault="00961725">
            <w:pPr>
              <w:jc w:val="center"/>
              <w:rPr>
                <w:rFonts w:ascii="Arial" w:hAnsi="Arial" w:cs="Arial"/>
                <w:sz w:val="20"/>
                <w:szCs w:val="20"/>
              </w:rPr>
            </w:pPr>
          </w:p>
        </w:tc>
      </w:tr>
    </w:tbl>
    <w:p w14:paraId="73497ADA" w14:textId="77777777" w:rsidR="00961725" w:rsidRDefault="00961725">
      <w:pPr>
        <w:pStyle w:val="Paragraphedeliste"/>
      </w:pPr>
    </w:p>
    <w:p w14:paraId="64FAE113" w14:textId="77777777" w:rsidR="00961725" w:rsidRDefault="00961725">
      <w:pPr>
        <w:rPr>
          <w:color w:val="FF0000"/>
        </w:rPr>
      </w:pPr>
    </w:p>
    <w:sectPr w:rsidR="00961725">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B49C4" w14:textId="77777777" w:rsidR="00150B8B" w:rsidRDefault="00150B8B">
      <w:pPr>
        <w:spacing w:after="0" w:line="240" w:lineRule="auto"/>
      </w:pPr>
      <w:r>
        <w:separator/>
      </w:r>
    </w:p>
  </w:endnote>
  <w:endnote w:type="continuationSeparator" w:id="0">
    <w:p w14:paraId="130C288D" w14:textId="77777777" w:rsidR="00150B8B" w:rsidRDefault="00150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1E1C7" w14:textId="77777777" w:rsidR="00150B8B" w:rsidRDefault="00150B8B">
      <w:pPr>
        <w:spacing w:after="0" w:line="240" w:lineRule="auto"/>
      </w:pPr>
      <w:r>
        <w:separator/>
      </w:r>
    </w:p>
  </w:footnote>
  <w:footnote w:type="continuationSeparator" w:id="0">
    <w:p w14:paraId="34372BF0" w14:textId="77777777" w:rsidR="00150B8B" w:rsidRDefault="00150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ED0097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0BD0166"/>
    <w:multiLevelType w:val="multilevel"/>
    <w:tmpl w:val="BE08BC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E753F11"/>
    <w:multiLevelType w:val="multilevel"/>
    <w:tmpl w:val="2062A4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B861B73"/>
    <w:multiLevelType w:val="multilevel"/>
    <w:tmpl w:val="BFDE37A6"/>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F605AD2"/>
    <w:multiLevelType w:val="multilevel"/>
    <w:tmpl w:val="A6E2AC42"/>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5" w15:restartNumberingAfterBreak="0">
    <w:nsid w:val="628E39D9"/>
    <w:multiLevelType w:val="multilevel"/>
    <w:tmpl w:val="1D1E7D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448347E"/>
    <w:multiLevelType w:val="multilevel"/>
    <w:tmpl w:val="7D1C17F0"/>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7" w15:restartNumberingAfterBreak="0">
    <w:nsid w:val="757028EA"/>
    <w:multiLevelType w:val="multilevel"/>
    <w:tmpl w:val="EA1A878E"/>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589775943">
    <w:abstractNumId w:val="2"/>
  </w:num>
  <w:num w:numId="2" w16cid:durableId="1670252111">
    <w:abstractNumId w:val="1"/>
  </w:num>
  <w:num w:numId="3" w16cid:durableId="1245920773">
    <w:abstractNumId w:val="5"/>
  </w:num>
  <w:num w:numId="4" w16cid:durableId="392121987">
    <w:abstractNumId w:val="6"/>
  </w:num>
  <w:num w:numId="5" w16cid:durableId="1540240888">
    <w:abstractNumId w:val="3"/>
  </w:num>
  <w:num w:numId="6" w16cid:durableId="1933002421">
    <w:abstractNumId w:val="0"/>
  </w:num>
  <w:num w:numId="7" w16cid:durableId="1529754691">
    <w:abstractNumId w:val="4"/>
  </w:num>
  <w:num w:numId="8" w16cid:durableId="1288708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725"/>
    <w:rsid w:val="00150B8B"/>
    <w:rsid w:val="006D013B"/>
    <w:rsid w:val="008F2F8B"/>
    <w:rsid w:val="00961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AD01F"/>
  <w15:docId w15:val="{3FA89A79-793C-470D-BF47-A94E29DC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zoology.ubc.ca/~irwin/GreenishWarblers.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3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4444</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11</cp:revision>
  <dcterms:created xsi:type="dcterms:W3CDTF">2026-04-03T13:24:00Z</dcterms:created>
  <dcterms:modified xsi:type="dcterms:W3CDTF">2026-07-13T08:08:00Z</dcterms:modified>
</cp:coreProperties>
</file>