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8553C" w14:textId="77777777" w:rsidR="004A38C3" w:rsidRDefault="00000000">
      <w:pPr>
        <w:jc w:val="center"/>
        <w:rPr>
          <w:rFonts w:cstheme="minorHAnsi"/>
          <w:b/>
          <w:sz w:val="32"/>
          <w:szCs w:val="32"/>
        </w:rPr>
      </w:pPr>
      <w:r>
        <w:rPr>
          <w:rFonts w:cstheme="minorHAnsi"/>
          <w:b/>
          <w:sz w:val="32"/>
          <w:szCs w:val="32"/>
        </w:rPr>
        <w:t>Contrôle hormonal des organes reproducteurs</w:t>
      </w:r>
    </w:p>
    <w:p w14:paraId="4A6AC260" w14:textId="77777777" w:rsidR="004A38C3" w:rsidRDefault="00000000">
      <w:pPr>
        <w:jc w:val="both"/>
        <w:rPr>
          <w:rFonts w:cstheme="minorHAnsi"/>
        </w:rPr>
      </w:pPr>
      <w:r>
        <w:rPr>
          <w:rFonts w:cstheme="minorHAnsi"/>
          <w:b/>
          <w:color w:val="00B0F0"/>
        </w:rPr>
        <w:t xml:space="preserve">Niveau de classe </w:t>
      </w:r>
      <w:r>
        <w:rPr>
          <w:rFonts w:cstheme="minorHAnsi"/>
        </w:rPr>
        <w:t>: Seconde</w:t>
      </w:r>
    </w:p>
    <w:p w14:paraId="7CAFC612" w14:textId="77777777" w:rsidR="004A38C3" w:rsidRDefault="00000000">
      <w:pPr>
        <w:jc w:val="both"/>
        <w:rPr>
          <w:rFonts w:cstheme="minorHAnsi"/>
        </w:rPr>
      </w:pPr>
      <w:r>
        <w:rPr>
          <w:rFonts w:cstheme="minorHAnsi"/>
          <w:b/>
          <w:color w:val="00B0F0"/>
        </w:rPr>
        <w:t>Notion du BO travaillée</w:t>
      </w:r>
      <w:r>
        <w:rPr>
          <w:rFonts w:cstheme="minorHAnsi"/>
          <w:color w:val="00B0F0"/>
        </w:rPr>
        <w:t> </w:t>
      </w:r>
      <w:r>
        <w:rPr>
          <w:rFonts w:cstheme="minorHAnsi"/>
        </w:rPr>
        <w:t>qui s’inscrit dans « Corps humain et la santé » &gt;&gt; « Hormones et reproduction humaine » :</w:t>
      </w:r>
    </w:p>
    <w:p w14:paraId="7E4EA1A3" w14:textId="77777777" w:rsidR="004A38C3" w:rsidRDefault="00000000">
      <w:pPr>
        <w:jc w:val="both"/>
        <w:rPr>
          <w:rFonts w:cstheme="minorHAnsi"/>
          <w:iCs/>
          <w:lang w:val="fr-CA"/>
        </w:rPr>
      </w:pPr>
      <w:r>
        <w:rPr>
          <w:rFonts w:cstheme="minorHAnsi"/>
          <w:iCs/>
          <w:lang w:val="fr-CA"/>
        </w:rPr>
        <w:t xml:space="preserve">Le fonctionnement de l’appareil reproducteur repose sur un dispositif neuroendocrinien faisant intervenir l’hypothalamus, l’hypophyse et les organes sexuels. </w:t>
      </w:r>
    </w:p>
    <w:p w14:paraId="299BE938" w14:textId="77777777" w:rsidR="004A38C3" w:rsidRDefault="00000000">
      <w:pPr>
        <w:spacing w:after="0" w:line="240" w:lineRule="auto"/>
        <w:jc w:val="both"/>
        <w:rPr>
          <w:rFonts w:cstheme="minorHAnsi"/>
          <w:i/>
          <w:iCs/>
        </w:rPr>
      </w:pPr>
      <w:r>
        <w:rPr>
          <w:rFonts w:cstheme="minorHAnsi"/>
          <w:b/>
          <w:bCs/>
          <w:i/>
          <w:iCs/>
        </w:rPr>
        <w:t xml:space="preserve">Notions fondamentales : </w:t>
      </w:r>
      <w:r>
        <w:rPr>
          <w:rFonts w:cstheme="minorHAnsi"/>
          <w:i/>
          <w:iCs/>
        </w:rPr>
        <w:t>hormones et neurohormones hypothalamo-hypophysaires (FSH, LH et GnRH) ; modes d’action biologique des molécules exogènes.</w:t>
      </w:r>
    </w:p>
    <w:p w14:paraId="5D4EDEB0" w14:textId="77777777" w:rsidR="004A38C3" w:rsidRDefault="004A38C3">
      <w:pPr>
        <w:spacing w:after="0" w:line="240" w:lineRule="auto"/>
        <w:jc w:val="both"/>
        <w:rPr>
          <w:rFonts w:cstheme="minorHAnsi"/>
        </w:rPr>
      </w:pPr>
    </w:p>
    <w:p w14:paraId="35C1DB82" w14:textId="77777777" w:rsidR="004A38C3" w:rsidRDefault="00000000">
      <w:pPr>
        <w:jc w:val="both"/>
        <w:rPr>
          <w:rFonts w:cstheme="minorHAnsi"/>
        </w:rPr>
      </w:pPr>
      <w:r>
        <w:rPr>
          <w:rFonts w:cstheme="minorHAnsi"/>
          <w:b/>
          <w:color w:val="00B0F0"/>
        </w:rPr>
        <w:t>Compétence travaillée dans l’activité</w:t>
      </w:r>
      <w:r>
        <w:rPr>
          <w:rFonts w:cstheme="minorHAnsi"/>
          <w:color w:val="00B0F0"/>
        </w:rPr>
        <w:t> </w:t>
      </w:r>
      <w:r>
        <w:rPr>
          <w:rFonts w:cstheme="minorHAnsi"/>
        </w:rPr>
        <w:t>: Construire un schéma fonctionnel</w:t>
      </w:r>
    </w:p>
    <w:p w14:paraId="690ECE56" w14:textId="77777777" w:rsidR="004A38C3" w:rsidRDefault="00000000">
      <w:pPr>
        <w:jc w:val="both"/>
        <w:rPr>
          <w:rFonts w:cstheme="minorHAnsi"/>
        </w:rPr>
      </w:pPr>
      <w:r>
        <w:rPr>
          <w:rFonts w:cstheme="minorHAnsi"/>
          <w:b/>
          <w:color w:val="00B0F0"/>
        </w:rPr>
        <w:t>Contexte de l’activité</w:t>
      </w:r>
      <w:r>
        <w:rPr>
          <w:rFonts w:cstheme="minorHAnsi"/>
          <w:color w:val="00B0F0"/>
        </w:rPr>
        <w:t> </w:t>
      </w:r>
      <w:r>
        <w:rPr>
          <w:rFonts w:cstheme="minorHAnsi"/>
        </w:rPr>
        <w:t xml:space="preserve">: Cette activité peut s’intégrer à une séquence pour coconstruire les notions visées. </w:t>
      </w:r>
    </w:p>
    <w:p w14:paraId="780E9759" w14:textId="77777777" w:rsidR="004A38C3" w:rsidRDefault="00000000">
      <w:pPr>
        <w:jc w:val="both"/>
        <w:rPr>
          <w:rFonts w:cstheme="minorHAnsi"/>
        </w:rPr>
      </w:pPr>
      <w:r>
        <w:rPr>
          <w:rFonts w:cstheme="minorHAnsi"/>
          <w:b/>
          <w:color w:val="00B0F0"/>
        </w:rPr>
        <w:t xml:space="preserve">Contenu de l’activité </w:t>
      </w:r>
      <w:r>
        <w:rPr>
          <w:rFonts w:cstheme="minorHAnsi"/>
        </w:rPr>
        <w:t xml:space="preserve">: </w:t>
      </w:r>
    </w:p>
    <w:p w14:paraId="62D136ED" w14:textId="77777777" w:rsidR="004A38C3" w:rsidRDefault="00000000">
      <w:pPr>
        <w:jc w:val="both"/>
        <w:rPr>
          <w:rFonts w:cstheme="minorHAnsi"/>
        </w:rPr>
      </w:pPr>
      <w:r>
        <w:rPr>
          <w:rFonts w:cstheme="minorHAnsi"/>
          <w:u w:val="single"/>
        </w:rPr>
        <w:t>Consigne </w:t>
      </w:r>
      <w:r>
        <w:rPr>
          <w:rFonts w:cstheme="minorHAnsi"/>
        </w:rPr>
        <w:t xml:space="preserve">: À partir des documents, </w:t>
      </w:r>
      <w:r>
        <w:rPr>
          <w:rFonts w:cstheme="minorHAnsi"/>
          <w:b/>
          <w:bCs/>
        </w:rPr>
        <w:t>construire un schéma fonctionnel</w:t>
      </w:r>
      <w:r>
        <w:rPr>
          <w:rFonts w:cstheme="minorHAnsi"/>
        </w:rPr>
        <w:t xml:space="preserve"> présentant les mécanismes à l’origine du fonctionnement de l’appareil reproducteur féminin.</w:t>
      </w:r>
    </w:p>
    <w:p w14:paraId="0F351D35" w14:textId="77777777" w:rsidR="004A38C3" w:rsidRDefault="00000000">
      <w:pPr>
        <w:pStyle w:val="Sansinterligne"/>
        <w:jc w:val="both"/>
        <w:rPr>
          <w:rFonts w:cstheme="minorHAnsi"/>
        </w:rPr>
      </w:pPr>
      <w:r>
        <w:rPr>
          <w:rFonts w:cstheme="minorHAnsi"/>
          <w:u w:val="single"/>
        </w:rPr>
        <w:t>Document 1</w:t>
      </w:r>
      <w:r>
        <w:rPr>
          <w:rFonts w:cstheme="minorHAnsi"/>
        </w:rPr>
        <w:t> : Régulation hormonale du cycle ovarien</w:t>
      </w:r>
    </w:p>
    <w:p w14:paraId="03AE3E71" w14:textId="77777777" w:rsidR="004A38C3" w:rsidRDefault="004A38C3">
      <w:pPr>
        <w:pStyle w:val="Sansinterligne"/>
        <w:jc w:val="both"/>
        <w:rPr>
          <w:rFonts w:cstheme="minorHAnsi"/>
        </w:rPr>
      </w:pPr>
    </w:p>
    <w:p w14:paraId="4E9E33C4" w14:textId="77777777" w:rsidR="004A38C3" w:rsidRDefault="00000000">
      <w:pPr>
        <w:rPr>
          <w:rFonts w:cstheme="minorHAnsi"/>
          <w:lang w:val="fr-CA"/>
        </w:rPr>
      </w:pPr>
      <w:r>
        <w:rPr>
          <w:rFonts w:cstheme="minorHAnsi"/>
          <w:lang w:val="fr-CA"/>
        </w:rPr>
        <w:t xml:space="preserve">Vidéo de l’INSERM « Au cœur des organes : la régulation du cycle ovarien » : </w:t>
      </w:r>
      <w:hyperlink r:id="rId7" w:tooltip="https://www.youtube.com/watch?v=7P3ahyT6lYQ" w:history="1">
        <w:r>
          <w:rPr>
            <w:rStyle w:val="Lienhypertexte"/>
            <w:rFonts w:cstheme="minorHAnsi"/>
            <w:lang w:val="fr-CA"/>
          </w:rPr>
          <w:t>https://www.youtube.com/watch?v=7P3ahyT6lYQ</w:t>
        </w:r>
      </w:hyperlink>
    </w:p>
    <w:p w14:paraId="2634C151" w14:textId="77777777" w:rsidR="004A38C3" w:rsidRDefault="004A38C3">
      <w:pPr>
        <w:pStyle w:val="Sansinterligne"/>
        <w:jc w:val="both"/>
        <w:rPr>
          <w:rFonts w:cstheme="minorHAnsi"/>
        </w:rPr>
      </w:pPr>
    </w:p>
    <w:p w14:paraId="50E91578" w14:textId="77777777" w:rsidR="004A38C3" w:rsidRDefault="00000000">
      <w:pPr>
        <w:pStyle w:val="Sansinterligne"/>
        <w:jc w:val="both"/>
        <w:rPr>
          <w:rFonts w:cstheme="minorHAnsi"/>
        </w:rPr>
      </w:pPr>
      <w:r>
        <w:rPr>
          <w:rFonts w:ascii="Arial" w:hAnsi="Arial" w:cs="Arial"/>
          <w:b/>
          <w:bCs/>
          <w:noProof/>
          <w:color w:val="000000" w:themeColor="text1"/>
        </w:rPr>
        <mc:AlternateContent>
          <mc:Choice Requires="wpg">
            <w:drawing>
              <wp:anchor distT="0" distB="0" distL="114300" distR="114300" simplePos="0" relativeHeight="251656192" behindDoc="0" locked="0" layoutInCell="1" allowOverlap="1" wp14:anchorId="273ECCB3" wp14:editId="2F3FAF51">
                <wp:simplePos x="0" y="0"/>
                <wp:positionH relativeFrom="margin">
                  <wp:align>left</wp:align>
                </wp:positionH>
                <wp:positionV relativeFrom="paragraph">
                  <wp:posOffset>245110</wp:posOffset>
                </wp:positionV>
                <wp:extent cx="6564630" cy="3345180"/>
                <wp:effectExtent l="0" t="0" r="7620" b="762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83390" name="Image 82383390"/>
                        <pic:cNvPicPr>
                          <a:picLocks noChangeAspect="1"/>
                        </pic:cNvPicPr>
                      </pic:nvPicPr>
                      <pic:blipFill rotWithShape="1">
                        <a:blip r:embed="rId8"/>
                        <a:stretch/>
                      </pic:blipFill>
                      <pic:spPr bwMode="auto">
                        <a:xfrm>
                          <a:off x="0" y="0"/>
                          <a:ext cx="6564630" cy="3345180"/>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6192;o:allowoverlap:true;o:allowincell:true;mso-position-horizontal-relative:margin;mso-position-horizontal:left;mso-position-vertical-relative:text;margin-top:19.30pt;mso-position-vertical:absolute;width:516.90pt;height:263.40pt;mso-wrap-distance-left:9.00pt;mso-wrap-distance-top:0.00pt;mso-wrap-distance-right:9.00pt;mso-wrap-distance-bottom:0.00pt;z-index:1;" stroked="false">
                <w10:wrap type="square"/>
                <v:imagedata r:id="rId10" o:title=""/>
                <o:lock v:ext="edit" rotation="t"/>
              </v:shape>
            </w:pict>
          </mc:Fallback>
        </mc:AlternateContent>
      </w:r>
      <w:r>
        <w:rPr>
          <w:rFonts w:cstheme="minorHAnsi"/>
          <w:u w:val="single"/>
        </w:rPr>
        <w:t>Document 2</w:t>
      </w:r>
      <w:r>
        <w:rPr>
          <w:rFonts w:cstheme="minorHAnsi"/>
        </w:rPr>
        <w:t> : Le complexe hypothalamo-hypophysaire</w:t>
      </w:r>
    </w:p>
    <w:p w14:paraId="18E97CA8" w14:textId="77777777" w:rsidR="004A38C3" w:rsidRDefault="00000000">
      <w:pPr>
        <w:pStyle w:val="Sansinterligne"/>
        <w:jc w:val="right"/>
        <w:rPr>
          <w:rFonts w:cstheme="minorHAnsi"/>
          <w:i/>
          <w:iCs/>
          <w:sz w:val="16"/>
          <w:szCs w:val="16"/>
        </w:rPr>
      </w:pPr>
      <w:r>
        <w:rPr>
          <w:rFonts w:cstheme="minorHAnsi"/>
          <w:i/>
          <w:iCs/>
          <w:sz w:val="16"/>
          <w:szCs w:val="16"/>
        </w:rPr>
        <w:t>Source : Le livre scolaire 2</w:t>
      </w:r>
      <w:r>
        <w:rPr>
          <w:rFonts w:cstheme="minorHAnsi"/>
          <w:i/>
          <w:iCs/>
          <w:sz w:val="16"/>
          <w:szCs w:val="16"/>
          <w:vertAlign w:val="superscript"/>
        </w:rPr>
        <w:t>nde</w:t>
      </w:r>
      <w:r>
        <w:rPr>
          <w:rFonts w:cstheme="minorHAnsi"/>
          <w:i/>
          <w:iCs/>
          <w:sz w:val="16"/>
          <w:szCs w:val="16"/>
        </w:rPr>
        <w:t>, 2019</w:t>
      </w:r>
    </w:p>
    <w:p w14:paraId="505FE743" w14:textId="77777777" w:rsidR="004A38C3" w:rsidRDefault="00000000">
      <w:pPr>
        <w:pStyle w:val="Sansinterligne"/>
        <w:jc w:val="both"/>
        <w:rPr>
          <w:rFonts w:cstheme="minorHAnsi"/>
        </w:rPr>
      </w:pPr>
      <w:r>
        <w:rPr>
          <w:rFonts w:cstheme="minorHAnsi"/>
          <w:u w:val="single"/>
        </w:rPr>
        <w:t>Document 3</w:t>
      </w:r>
      <w:r>
        <w:rPr>
          <w:rFonts w:cstheme="minorHAnsi"/>
        </w:rPr>
        <w:t xml:space="preserve"> : Définitions </w:t>
      </w:r>
    </w:p>
    <w:p w14:paraId="0A37D1F4" w14:textId="77777777" w:rsidR="004A38C3" w:rsidRDefault="004A38C3">
      <w:pPr>
        <w:pStyle w:val="Sansinterligne"/>
        <w:jc w:val="both"/>
        <w:rPr>
          <w:rFonts w:cstheme="minorHAnsi"/>
        </w:rPr>
      </w:pPr>
    </w:p>
    <w:p w14:paraId="1A7E449A" w14:textId="77777777" w:rsidR="004A38C3" w:rsidRDefault="00000000">
      <w:pPr>
        <w:pStyle w:val="Paragraphedeliste"/>
        <w:numPr>
          <w:ilvl w:val="0"/>
          <w:numId w:val="7"/>
        </w:numPr>
        <w:jc w:val="both"/>
      </w:pPr>
      <w:r>
        <w:rPr>
          <w:u w:val="single"/>
        </w:rPr>
        <w:t>Capillaire</w:t>
      </w:r>
      <w:r>
        <w:t> : vaisseaux sanguins de petite taille permettant des échanges entre le sang et les organes.</w:t>
      </w:r>
    </w:p>
    <w:p w14:paraId="791A7BF1" w14:textId="77777777" w:rsidR="004A38C3" w:rsidRDefault="00000000">
      <w:pPr>
        <w:pStyle w:val="Paragraphedeliste"/>
        <w:numPr>
          <w:ilvl w:val="0"/>
          <w:numId w:val="7"/>
        </w:numPr>
        <w:jc w:val="both"/>
      </w:pPr>
      <w:r>
        <w:rPr>
          <w:u w:val="single"/>
        </w:rPr>
        <w:t>Hormone</w:t>
      </w:r>
      <w:r>
        <w:t> : molécule sécrétée par une cellule dite endocrine, circulant dans le sang et agissant à distance sur un organe cible.</w:t>
      </w:r>
    </w:p>
    <w:p w14:paraId="0811CF01" w14:textId="77777777" w:rsidR="004A38C3" w:rsidRDefault="00000000">
      <w:pPr>
        <w:pStyle w:val="Paragraphedeliste"/>
        <w:numPr>
          <w:ilvl w:val="0"/>
          <w:numId w:val="7"/>
        </w:numPr>
        <w:jc w:val="both"/>
      </w:pPr>
      <w:r>
        <w:rPr>
          <w:u w:val="single"/>
        </w:rPr>
        <w:t>Follicule</w:t>
      </w:r>
      <w:r>
        <w:t> : ensemble sphérique de cellules contenant l’ovocyte, présent dans l’ovaire et qui se développe durant le cycle ovarien.</w:t>
      </w:r>
    </w:p>
    <w:p w14:paraId="2E3F15FB" w14:textId="77777777" w:rsidR="004A38C3" w:rsidRDefault="00000000">
      <w:pPr>
        <w:pStyle w:val="Paragraphedeliste"/>
        <w:numPr>
          <w:ilvl w:val="0"/>
          <w:numId w:val="7"/>
        </w:numPr>
        <w:jc w:val="both"/>
      </w:pPr>
      <w:r>
        <w:rPr>
          <w:u w:val="single"/>
        </w:rPr>
        <w:t>mUl.mL</w:t>
      </w:r>
      <w:r>
        <w:rPr>
          <w:u w:val="single"/>
          <w:vertAlign w:val="superscript"/>
        </w:rPr>
        <w:t>-1</w:t>
      </w:r>
      <w:r>
        <w:rPr>
          <w:u w:val="single"/>
        </w:rPr>
        <w:t xml:space="preserve"> </w:t>
      </w:r>
      <w:r>
        <w:t>= milli-Unité Internationale par millilitre.</w:t>
      </w:r>
    </w:p>
    <w:p w14:paraId="7082286C" w14:textId="77777777" w:rsidR="00C15CDB" w:rsidRDefault="00C15CDB">
      <w:pPr>
        <w:rPr>
          <w:rFonts w:cstheme="minorHAnsi"/>
          <w:b/>
          <w:color w:val="00B0F0"/>
        </w:rPr>
      </w:pPr>
    </w:p>
    <w:p w14:paraId="453B1600" w14:textId="4A887876" w:rsidR="004A38C3" w:rsidRDefault="00000000">
      <w:pPr>
        <w:rPr>
          <w:rFonts w:cstheme="minorHAnsi"/>
        </w:rPr>
      </w:pPr>
      <w:r>
        <w:rPr>
          <w:rFonts w:cstheme="minorHAnsi"/>
          <w:b/>
          <w:color w:val="00B0F0"/>
        </w:rPr>
        <w:lastRenderedPageBreak/>
        <w:t xml:space="preserve">Critères de réussite de la compétence travaillée </w:t>
      </w:r>
      <w:r>
        <w:rPr>
          <w:rFonts w:cstheme="minorHAnsi"/>
        </w:rPr>
        <w:t xml:space="preserve">: </w:t>
      </w:r>
    </w:p>
    <w:p w14:paraId="06C7D359" w14:textId="77777777" w:rsidR="004A38C3" w:rsidRDefault="00000000">
      <w:pPr>
        <w:pStyle w:val="Paragraphedeliste"/>
        <w:numPr>
          <w:ilvl w:val="0"/>
          <w:numId w:val="6"/>
        </w:numPr>
        <w:rPr>
          <w:u w:val="single"/>
        </w:rPr>
      </w:pPr>
      <w:r>
        <w:rPr>
          <w:u w:val="single"/>
        </w:rPr>
        <w:t>Construire un schéma fonctionnel</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931"/>
        <w:gridCol w:w="1417"/>
      </w:tblGrid>
      <w:tr w:rsidR="004A38C3" w14:paraId="12008C17" w14:textId="77777777">
        <w:trPr>
          <w:trHeight w:val="392"/>
        </w:trPr>
        <w:tc>
          <w:tcPr>
            <w:tcW w:w="8931"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3B03AC8A" w14:textId="77777777" w:rsidR="004A38C3" w:rsidRDefault="00000000">
            <w:pPr>
              <w:spacing w:after="0" w:line="240" w:lineRule="auto"/>
              <w:jc w:val="center"/>
              <w:rPr>
                <w:rFonts w:ascii="Arial" w:hAnsi="Arial" w:cs="Arial"/>
                <w:b/>
                <w:sz w:val="20"/>
                <w:szCs w:val="20"/>
              </w:rPr>
            </w:pPr>
            <w:r>
              <w:rPr>
                <w:rFonts w:ascii="Arial" w:hAnsi="Arial" w:cs="Arial"/>
                <w:b/>
                <w:sz w:val="20"/>
                <w:szCs w:val="20"/>
              </w:rPr>
              <w:t xml:space="preserve">Je réussis si : </w:t>
            </w:r>
          </w:p>
          <w:p w14:paraId="16FEEE3F" w14:textId="77777777" w:rsidR="004A38C3" w:rsidRDefault="00000000">
            <w:pPr>
              <w:spacing w:after="0" w:line="240" w:lineRule="auto"/>
              <w:jc w:val="right"/>
              <w:rPr>
                <w:rFonts w:ascii="Arial" w:hAnsi="Arial" w:cs="Arial"/>
                <w:b/>
                <w:sz w:val="20"/>
                <w:szCs w:val="20"/>
              </w:rPr>
            </w:pPr>
            <w:r>
              <w:rPr>
                <w:rFonts w:ascii="Arial" w:hAnsi="Arial" w:cs="Arial"/>
                <w:b/>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4D069EA2" w14:textId="77777777" w:rsidR="004A38C3" w:rsidRDefault="00000000">
            <w:pPr>
              <w:spacing w:after="0" w:line="240" w:lineRule="auto"/>
              <w:jc w:val="center"/>
              <w:rPr>
                <w:rFonts w:ascii="Arial" w:hAnsi="Arial" w:cs="Arial"/>
                <w:b/>
                <w:sz w:val="20"/>
                <w:szCs w:val="20"/>
              </w:rPr>
            </w:pPr>
            <w:r>
              <w:rPr>
                <w:rFonts w:ascii="Arial" w:hAnsi="Arial" w:cs="Arial"/>
                <w:b/>
                <w:sz w:val="20"/>
                <w:szCs w:val="20"/>
              </w:rPr>
              <w:t>Evaluation</w:t>
            </w:r>
          </w:p>
        </w:tc>
      </w:tr>
      <w:tr w:rsidR="004A38C3" w14:paraId="56C3B3A8" w14:textId="77777777">
        <w:trPr>
          <w:trHeight w:val="887"/>
        </w:trPr>
        <w:tc>
          <w:tcPr>
            <w:tcW w:w="8931" w:type="dxa"/>
            <w:tcBorders>
              <w:top w:val="single" w:sz="4" w:space="0" w:color="auto"/>
              <w:left w:val="single" w:sz="4" w:space="0" w:color="auto"/>
              <w:bottom w:val="single" w:sz="4" w:space="0" w:color="auto"/>
              <w:right w:val="single" w:sz="4" w:space="0" w:color="auto"/>
            </w:tcBorders>
          </w:tcPr>
          <w:p w14:paraId="3A0AFCA9" w14:textId="77777777" w:rsidR="004A38C3" w:rsidRDefault="00000000">
            <w:pPr>
              <w:rPr>
                <w:rFonts w:cstheme="minorHAnsi"/>
              </w:rPr>
            </w:pPr>
            <w:r>
              <w:rPr>
                <w:rFonts w:cstheme="minorHAnsi"/>
                <w:u w:val="single"/>
              </w:rPr>
              <w:t>PERTINENCE</w:t>
            </w:r>
            <w:r>
              <w:rPr>
                <w:rFonts w:cstheme="minorHAnsi"/>
                <w:spacing w:val="-6"/>
                <w:u w:val="single"/>
              </w:rPr>
              <w:t xml:space="preserve"> </w:t>
            </w:r>
            <w:r>
              <w:rPr>
                <w:rFonts w:cstheme="minorHAnsi"/>
              </w:rPr>
              <w:t xml:space="preserve">: J’ai seulement représenté </w:t>
            </w:r>
            <w:r>
              <w:t xml:space="preserve">les </w:t>
            </w:r>
            <w:r>
              <w:rPr>
                <w:b/>
              </w:rPr>
              <w:t>structures</w:t>
            </w:r>
            <w:r>
              <w:t xml:space="preserve"> et les </w:t>
            </w:r>
            <w:r>
              <w:rPr>
                <w:b/>
              </w:rPr>
              <w:t>mises en relations essentielles</w:t>
            </w:r>
            <w:r>
              <w:t xml:space="preserve"> à la compréhension du mécanisme. Mon schéma </w:t>
            </w:r>
            <w:r>
              <w:rPr>
                <w:b/>
              </w:rPr>
              <w:t>permet ainsi de répondre à la question ou au problème scientifique posé</w:t>
            </w:r>
            <w:r>
              <w:t>.</w:t>
            </w:r>
          </w:p>
        </w:tc>
        <w:tc>
          <w:tcPr>
            <w:tcW w:w="1417" w:type="dxa"/>
            <w:tcBorders>
              <w:top w:val="single" w:sz="4" w:space="0" w:color="auto"/>
              <w:left w:val="single" w:sz="4" w:space="0" w:color="auto"/>
              <w:bottom w:val="single" w:sz="4" w:space="0" w:color="auto"/>
              <w:right w:val="single" w:sz="4" w:space="0" w:color="auto"/>
            </w:tcBorders>
          </w:tcPr>
          <w:p w14:paraId="528BC2F9" w14:textId="77777777" w:rsidR="004A38C3" w:rsidRDefault="004A38C3">
            <w:pPr>
              <w:jc w:val="center"/>
              <w:rPr>
                <w:rFonts w:ascii="Arial" w:hAnsi="Arial" w:cs="Arial"/>
                <w:sz w:val="20"/>
                <w:szCs w:val="20"/>
              </w:rPr>
            </w:pPr>
          </w:p>
        </w:tc>
      </w:tr>
      <w:tr w:rsidR="004A38C3" w14:paraId="7F1B0AA6" w14:textId="77777777">
        <w:trPr>
          <w:trHeight w:val="581"/>
        </w:trPr>
        <w:tc>
          <w:tcPr>
            <w:tcW w:w="8931" w:type="dxa"/>
            <w:tcBorders>
              <w:top w:val="single" w:sz="4" w:space="0" w:color="auto"/>
              <w:left w:val="single" w:sz="4" w:space="0" w:color="auto"/>
              <w:bottom w:val="single" w:sz="4" w:space="0" w:color="auto"/>
              <w:right w:val="single" w:sz="4" w:space="0" w:color="auto"/>
            </w:tcBorders>
          </w:tcPr>
          <w:p w14:paraId="2CD00EC5" w14:textId="77777777" w:rsidR="004A38C3" w:rsidRDefault="00000000">
            <w:pPr>
              <w:rPr>
                <w:rFonts w:cstheme="minorHAnsi"/>
              </w:rPr>
            </w:pPr>
            <w:r>
              <w:rPr>
                <w:rFonts w:cstheme="minorHAnsi"/>
                <w:u w:val="single"/>
              </w:rPr>
              <w:t xml:space="preserve">COMPLETUDE : </w:t>
            </w:r>
            <w:r>
              <w:t xml:space="preserve">Toutes les </w:t>
            </w:r>
            <w:r>
              <w:rPr>
                <w:b/>
              </w:rPr>
              <w:t>structures</w:t>
            </w:r>
            <w:r>
              <w:t xml:space="preserve"> et les </w:t>
            </w:r>
            <w:r>
              <w:rPr>
                <w:b/>
              </w:rPr>
              <w:t>mises en relation importantes</w:t>
            </w:r>
            <w:r>
              <w:t xml:space="preserve"> sont représentées et identifiables sur mon schéma.</w:t>
            </w:r>
          </w:p>
        </w:tc>
        <w:tc>
          <w:tcPr>
            <w:tcW w:w="1417" w:type="dxa"/>
            <w:tcBorders>
              <w:top w:val="single" w:sz="4" w:space="0" w:color="auto"/>
              <w:left w:val="single" w:sz="4" w:space="0" w:color="auto"/>
              <w:bottom w:val="single" w:sz="4" w:space="0" w:color="auto"/>
              <w:right w:val="single" w:sz="4" w:space="0" w:color="auto"/>
            </w:tcBorders>
          </w:tcPr>
          <w:p w14:paraId="44D37422" w14:textId="77777777" w:rsidR="004A38C3" w:rsidRDefault="004A38C3">
            <w:pPr>
              <w:jc w:val="center"/>
              <w:rPr>
                <w:rFonts w:ascii="Arial" w:hAnsi="Arial" w:cs="Arial"/>
                <w:sz w:val="20"/>
                <w:szCs w:val="20"/>
              </w:rPr>
            </w:pPr>
          </w:p>
        </w:tc>
      </w:tr>
      <w:tr w:rsidR="004A38C3" w14:paraId="1585B356" w14:textId="77777777">
        <w:trPr>
          <w:trHeight w:val="581"/>
        </w:trPr>
        <w:tc>
          <w:tcPr>
            <w:tcW w:w="8931" w:type="dxa"/>
            <w:tcBorders>
              <w:top w:val="single" w:sz="4" w:space="0" w:color="auto"/>
              <w:left w:val="single" w:sz="4" w:space="0" w:color="auto"/>
              <w:bottom w:val="single" w:sz="4" w:space="0" w:color="auto"/>
              <w:right w:val="single" w:sz="4" w:space="0" w:color="auto"/>
            </w:tcBorders>
          </w:tcPr>
          <w:p w14:paraId="4B747B63" w14:textId="77777777" w:rsidR="004A38C3" w:rsidRDefault="00000000">
            <w:pPr>
              <w:pStyle w:val="Sansinterligne"/>
              <w:rPr>
                <w:rFonts w:cstheme="minorHAnsi"/>
              </w:rPr>
            </w:pPr>
            <w:r>
              <w:rPr>
                <w:rFonts w:cstheme="minorHAnsi"/>
                <w:u w:val="single"/>
              </w:rPr>
              <w:t>EXACTITUDE </w:t>
            </w:r>
            <w:r>
              <w:rPr>
                <w:rFonts w:cstheme="minorHAnsi"/>
              </w:rPr>
              <w:t xml:space="preserve">: </w:t>
            </w:r>
            <w:r>
              <w:t xml:space="preserve">Les structures sont </w:t>
            </w:r>
            <w:r>
              <w:rPr>
                <w:b/>
              </w:rPr>
              <w:t>correctement reliées entre elles</w:t>
            </w:r>
            <w:r>
              <w:t xml:space="preserve"> ; les </w:t>
            </w:r>
            <w:r>
              <w:rPr>
                <w:b/>
              </w:rPr>
              <w:t xml:space="preserve">légendes </w:t>
            </w:r>
            <w:r>
              <w:t xml:space="preserve">indiquées sont </w:t>
            </w:r>
            <w:r>
              <w:rPr>
                <w:b/>
              </w:rPr>
              <w:t>justes</w:t>
            </w:r>
            <w:r>
              <w:t>.</w:t>
            </w:r>
          </w:p>
        </w:tc>
        <w:tc>
          <w:tcPr>
            <w:tcW w:w="1417" w:type="dxa"/>
            <w:tcBorders>
              <w:top w:val="single" w:sz="4" w:space="0" w:color="auto"/>
              <w:left w:val="single" w:sz="4" w:space="0" w:color="auto"/>
              <w:bottom w:val="single" w:sz="4" w:space="0" w:color="auto"/>
              <w:right w:val="single" w:sz="4" w:space="0" w:color="auto"/>
            </w:tcBorders>
          </w:tcPr>
          <w:p w14:paraId="4EAE732F" w14:textId="77777777" w:rsidR="004A38C3" w:rsidRDefault="004A38C3">
            <w:pPr>
              <w:jc w:val="center"/>
              <w:rPr>
                <w:rFonts w:ascii="Arial" w:hAnsi="Arial" w:cs="Arial"/>
                <w:sz w:val="20"/>
                <w:szCs w:val="20"/>
              </w:rPr>
            </w:pPr>
          </w:p>
        </w:tc>
      </w:tr>
      <w:tr w:rsidR="004A38C3" w14:paraId="20796B3F" w14:textId="77777777">
        <w:trPr>
          <w:trHeight w:val="581"/>
        </w:trPr>
        <w:tc>
          <w:tcPr>
            <w:tcW w:w="8931" w:type="dxa"/>
            <w:tcBorders>
              <w:top w:val="single" w:sz="4" w:space="0" w:color="auto"/>
              <w:left w:val="single" w:sz="4" w:space="0" w:color="auto"/>
              <w:bottom w:val="single" w:sz="4" w:space="0" w:color="auto"/>
              <w:right w:val="single" w:sz="4" w:space="0" w:color="auto"/>
            </w:tcBorders>
          </w:tcPr>
          <w:p w14:paraId="453D94E0" w14:textId="77777777" w:rsidR="004A38C3" w:rsidRDefault="00000000">
            <w:pPr>
              <w:rPr>
                <w:rFonts w:cstheme="minorHAnsi"/>
              </w:rPr>
            </w:pPr>
            <w:r>
              <w:rPr>
                <w:rFonts w:cstheme="minorHAnsi"/>
                <w:u w:val="single"/>
              </w:rPr>
              <w:t>CONFORMITE</w:t>
            </w:r>
            <w:r>
              <w:rPr>
                <w:rFonts w:cstheme="minorHAnsi"/>
                <w:spacing w:val="-11"/>
                <w:u w:val="single"/>
              </w:rPr>
              <w:t xml:space="preserve"> </w:t>
            </w:r>
            <w:r>
              <w:rPr>
                <w:rFonts w:cstheme="minorHAnsi"/>
                <w:u w:val="single"/>
              </w:rPr>
              <w:t xml:space="preserve">: </w:t>
            </w:r>
            <w:r>
              <w:t xml:space="preserve">Mon schéma comporte un </w:t>
            </w:r>
            <w:r>
              <w:rPr>
                <w:b/>
              </w:rPr>
              <w:t>titre</w:t>
            </w:r>
            <w:r>
              <w:t xml:space="preserve">, des légendes et une </w:t>
            </w:r>
            <w:r>
              <w:rPr>
                <w:b/>
              </w:rPr>
              <w:t>partie dessinée/schématisée</w:t>
            </w:r>
            <w:r>
              <w:t xml:space="preserve"> (formes géométriques possibles) qui indique le </w:t>
            </w:r>
            <w:r>
              <w:rPr>
                <w:b/>
              </w:rPr>
              <w:t>fonctionnement</w:t>
            </w:r>
            <w:r>
              <w:t xml:space="preserve"> de l’objet scientifique étudié.</w:t>
            </w:r>
          </w:p>
        </w:tc>
        <w:tc>
          <w:tcPr>
            <w:tcW w:w="1417" w:type="dxa"/>
            <w:tcBorders>
              <w:top w:val="single" w:sz="4" w:space="0" w:color="auto"/>
              <w:left w:val="single" w:sz="4" w:space="0" w:color="auto"/>
              <w:bottom w:val="single" w:sz="4" w:space="0" w:color="auto"/>
              <w:right w:val="single" w:sz="4" w:space="0" w:color="auto"/>
            </w:tcBorders>
          </w:tcPr>
          <w:p w14:paraId="66853CC6" w14:textId="77777777" w:rsidR="004A38C3" w:rsidRDefault="004A38C3">
            <w:pPr>
              <w:jc w:val="center"/>
              <w:rPr>
                <w:rFonts w:ascii="Arial" w:hAnsi="Arial" w:cs="Arial"/>
                <w:sz w:val="20"/>
                <w:szCs w:val="20"/>
              </w:rPr>
            </w:pPr>
          </w:p>
        </w:tc>
      </w:tr>
    </w:tbl>
    <w:p w14:paraId="6D141844" w14:textId="77777777" w:rsidR="004A38C3" w:rsidRDefault="004A38C3">
      <w:pPr>
        <w:rPr>
          <w:rFonts w:cstheme="minorHAnsi"/>
          <w:b/>
          <w:color w:val="00B0F0"/>
        </w:rPr>
      </w:pPr>
    </w:p>
    <w:p w14:paraId="36F3D460" w14:textId="77777777" w:rsidR="004A38C3" w:rsidRDefault="00000000">
      <w:pPr>
        <w:rPr>
          <w:rFonts w:cstheme="minorHAnsi"/>
          <w:b/>
          <w:color w:val="00B0F0"/>
        </w:rPr>
      </w:pPr>
      <w:r>
        <w:rPr>
          <w:rFonts w:cstheme="minorHAnsi"/>
          <w:b/>
          <w:color w:val="00B0F0"/>
        </w:rPr>
        <w:br w:type="page" w:clear="all"/>
      </w:r>
      <w:r>
        <w:rPr>
          <w:rFonts w:cstheme="minorHAnsi"/>
          <w:b/>
          <w:color w:val="00B0F0"/>
        </w:rPr>
        <w:lastRenderedPageBreak/>
        <w:t>Activités complémentaires possibles :</w:t>
      </w:r>
    </w:p>
    <w:p w14:paraId="43274177" w14:textId="77777777" w:rsidR="004A38C3" w:rsidRDefault="00000000">
      <w:pPr>
        <w:rPr>
          <w:rFonts w:cstheme="minorHAnsi"/>
          <w:i/>
          <w:iCs/>
        </w:rPr>
      </w:pPr>
      <w:r>
        <w:rPr>
          <w:rFonts w:cstheme="minorHAnsi"/>
          <w:i/>
          <w:iCs/>
        </w:rPr>
        <w:t>Version masculine, qui peut être destinée à mesurer les acquis issus du travail de la compétence :</w:t>
      </w:r>
    </w:p>
    <w:p w14:paraId="54073CDC" w14:textId="77777777" w:rsidR="004A38C3" w:rsidRDefault="00000000">
      <w:pPr>
        <w:jc w:val="both"/>
        <w:rPr>
          <w:rFonts w:cstheme="minorHAnsi"/>
        </w:rPr>
      </w:pPr>
      <w:r>
        <w:rPr>
          <w:rFonts w:cstheme="minorHAnsi"/>
          <w:u w:val="single"/>
        </w:rPr>
        <w:t>Consigne :</w:t>
      </w:r>
      <w:r>
        <w:rPr>
          <w:rFonts w:cstheme="minorHAnsi"/>
        </w:rPr>
        <w:t xml:space="preserve"> À partir du document, </w:t>
      </w:r>
      <w:r>
        <w:rPr>
          <w:rFonts w:cstheme="minorHAnsi"/>
          <w:b/>
          <w:bCs/>
        </w:rPr>
        <w:t>construire un schéma fonctionnel</w:t>
      </w:r>
      <w:r>
        <w:rPr>
          <w:rFonts w:cstheme="minorHAnsi"/>
        </w:rPr>
        <w:t xml:space="preserve"> présentant les mécanismes à l’origine du fonctionnement de l’appareil reproducteur masculin.</w:t>
      </w:r>
    </w:p>
    <w:p w14:paraId="34B69A77" w14:textId="77777777" w:rsidR="004A38C3" w:rsidRDefault="00000000">
      <w:pPr>
        <w:rPr>
          <w:rFonts w:cstheme="minorHAnsi"/>
          <w:lang w:val="fr-CA"/>
        </w:rPr>
      </w:pPr>
      <w:r>
        <w:rPr>
          <w:rFonts w:cstheme="minorHAnsi"/>
          <w:u w:val="single"/>
          <w:lang w:val="fr-CA"/>
        </w:rPr>
        <w:t>Document 1</w:t>
      </w:r>
      <w:r>
        <w:rPr>
          <w:rFonts w:cstheme="minorHAnsi"/>
          <w:lang w:val="fr-CA"/>
        </w:rPr>
        <w:t xml:space="preserve"> : Régulation hormonale du fonctionnement testiculaire </w:t>
      </w:r>
    </w:p>
    <w:p w14:paraId="5C509933" w14:textId="77777777" w:rsidR="004A38C3" w:rsidRDefault="00000000">
      <w:pPr>
        <w:spacing w:after="0" w:line="300" w:lineRule="atLeast"/>
        <w:jc w:val="both"/>
        <w:rPr>
          <w:rFonts w:cstheme="minorHAnsi"/>
          <w:color w:val="000000" w:themeColor="text1"/>
        </w:rPr>
      </w:pPr>
      <w:r>
        <w:rPr>
          <w:rFonts w:cstheme="minorHAnsi"/>
          <w:color w:val="000000" w:themeColor="text1"/>
        </w:rPr>
        <w:t xml:space="preserve">Le complexe hypothalamo-hypophysaire contrôle l’activité testiculaire. L’hypothalamus produit une neurohormone, la GnRH, qui contrôle l’activité de l’hypophyse. En effet la GnRH induit la sécrétion, par l’hypophyse, de LH et de FSH qui vont agir sur différentes cellules testiculaires. </w:t>
      </w:r>
    </w:p>
    <w:p w14:paraId="1B122ECB" w14:textId="77777777" w:rsidR="004A38C3" w:rsidRDefault="00000000">
      <w:pPr>
        <w:spacing w:after="0" w:line="300" w:lineRule="atLeast"/>
        <w:jc w:val="both"/>
        <w:rPr>
          <w:rFonts w:cstheme="minorHAnsi"/>
          <w:color w:val="000000" w:themeColor="text1"/>
        </w:rPr>
      </w:pPr>
      <w:r>
        <w:rPr>
          <w:rFonts w:cstheme="minorHAnsi"/>
          <w:color w:val="000000" w:themeColor="text1"/>
        </w:rPr>
        <w:t xml:space="preserve">Il existe de types de cellules dans les testicules : les cellules de </w:t>
      </w:r>
      <w:proofErr w:type="spellStart"/>
      <w:r>
        <w:rPr>
          <w:rFonts w:cstheme="minorHAnsi"/>
          <w:color w:val="000000" w:themeColor="text1"/>
        </w:rPr>
        <w:t>Sertoli</w:t>
      </w:r>
      <w:proofErr w:type="spellEnd"/>
      <w:r>
        <w:rPr>
          <w:rFonts w:cstheme="minorHAnsi"/>
          <w:color w:val="000000" w:themeColor="text1"/>
        </w:rPr>
        <w:t xml:space="preserve"> et les cellules de Leydig. Les cellules de </w:t>
      </w:r>
      <w:proofErr w:type="spellStart"/>
      <w:r>
        <w:rPr>
          <w:rFonts w:cstheme="minorHAnsi"/>
          <w:color w:val="000000" w:themeColor="text1"/>
        </w:rPr>
        <w:t>Sertoli</w:t>
      </w:r>
      <w:proofErr w:type="spellEnd"/>
      <w:r>
        <w:rPr>
          <w:rFonts w:cstheme="minorHAnsi"/>
          <w:color w:val="000000" w:themeColor="text1"/>
        </w:rPr>
        <w:t xml:space="preserve"> réalisent la spermatogenèse lorsqu’elles sont stimulées par la FSH. Les cellules de Leydig produisent quant à elles de la testostérone lorsqu’elles sont stimulées par la LH. Cette testostérone est capable d’agir en retour (feed-back) sur le complexe hypothalamo-hypophysaire. Cette action est un rétrocontrôle. Ce rétrocontrôle réalisé par la testostérone peut diminuer l’activité des glandes cérébrales = rétrocontrôle négatif.</w:t>
      </w:r>
    </w:p>
    <w:p w14:paraId="2399DF7D" w14:textId="77777777" w:rsidR="004A38C3" w:rsidRDefault="004A38C3">
      <w:pPr>
        <w:rPr>
          <w:rFonts w:cstheme="minorHAnsi"/>
          <w:b/>
          <w:color w:val="00B0F0"/>
        </w:rPr>
      </w:pPr>
    </w:p>
    <w:p w14:paraId="611F8BA9" w14:textId="77777777" w:rsidR="004A38C3" w:rsidRDefault="00000000">
      <w:pPr>
        <w:rPr>
          <w:rFonts w:cstheme="minorHAnsi"/>
        </w:rPr>
      </w:pPr>
      <w:r>
        <w:rPr>
          <w:rFonts w:cstheme="minorHAnsi"/>
          <w:b/>
          <w:color w:val="00B0F0"/>
        </w:rPr>
        <w:t>ANNEXES </w:t>
      </w:r>
      <w:r>
        <w:rPr>
          <w:rFonts w:cstheme="minorHAnsi"/>
        </w:rPr>
        <w:t xml:space="preserve">: </w:t>
      </w:r>
    </w:p>
    <w:p w14:paraId="123DB6A7" w14:textId="77777777" w:rsidR="004A38C3" w:rsidRDefault="00000000">
      <w:pPr>
        <w:pStyle w:val="Sansinterligne"/>
        <w:rPr>
          <w:rFonts w:cstheme="minorHAnsi"/>
        </w:rPr>
      </w:pPr>
      <w:r>
        <w:rPr>
          <w:rFonts w:ascii="Arial" w:hAnsi="Arial" w:cs="Arial"/>
          <w:noProof/>
          <w:u w:val="single"/>
          <w:lang w:val="fr-CA"/>
        </w:rPr>
        <mc:AlternateContent>
          <mc:Choice Requires="wpg">
            <w:drawing>
              <wp:anchor distT="0" distB="0" distL="114300" distR="114300" simplePos="0" relativeHeight="251663360" behindDoc="0" locked="0" layoutInCell="1" allowOverlap="1" wp14:anchorId="39358A6C" wp14:editId="560C1C76">
                <wp:simplePos x="0" y="0"/>
                <wp:positionH relativeFrom="margin">
                  <wp:align>center</wp:align>
                </wp:positionH>
                <wp:positionV relativeFrom="paragraph">
                  <wp:posOffset>234950</wp:posOffset>
                </wp:positionV>
                <wp:extent cx="3473450" cy="5673090"/>
                <wp:effectExtent l="0" t="0" r="0" b="3810"/>
                <wp:wrapTopAndBottom/>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370864" name="Image 1528370864"/>
                        <pic:cNvPicPr>
                          <a:picLocks noChangeAspect="1"/>
                        </pic:cNvPicPr>
                      </pic:nvPicPr>
                      <pic:blipFill rotWithShape="1">
                        <a:blip r:embed="rId11"/>
                        <a:stretch/>
                      </pic:blipFill>
                      <pic:spPr bwMode="auto">
                        <a:xfrm>
                          <a:off x="0" y="0"/>
                          <a:ext cx="3473450" cy="567309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63360;o:allowoverlap:true;o:allowincell:true;mso-position-horizontal-relative:margin;mso-position-horizontal:center;mso-position-vertical-relative:text;margin-top:18.50pt;mso-position-vertical:absolute;width:273.50pt;height:446.70pt;mso-wrap-distance-left:9.00pt;mso-wrap-distance-top:0.00pt;mso-wrap-distance-right:9.00pt;mso-wrap-distance-bottom:0.00pt;z-index:1;" stroked="false">
                <w10:wrap type="topAndBottom"/>
                <v:imagedata r:id="rId12" o:title=""/>
                <o:lock v:ext="edit" rotation="t"/>
              </v:shape>
            </w:pict>
          </mc:Fallback>
        </mc:AlternateContent>
      </w:r>
      <w:r>
        <w:rPr>
          <w:rFonts w:cstheme="minorHAnsi"/>
          <w:u w:val="single"/>
        </w:rPr>
        <w:t>Document de ressource possible</w:t>
      </w:r>
      <w:r>
        <w:rPr>
          <w:rFonts w:cstheme="minorHAnsi"/>
        </w:rPr>
        <w:t> : Variation de concentration hormonale théorique au cours d’un cycle féminin</w:t>
      </w:r>
    </w:p>
    <w:p w14:paraId="6494D97E" w14:textId="77777777" w:rsidR="004A38C3" w:rsidRDefault="00000000">
      <w:pPr>
        <w:pStyle w:val="Sansinterligne"/>
        <w:jc w:val="right"/>
        <w:rPr>
          <w:rFonts w:cstheme="minorHAnsi"/>
          <w:i/>
          <w:iCs/>
          <w:sz w:val="16"/>
          <w:szCs w:val="16"/>
        </w:rPr>
      </w:pPr>
      <w:r>
        <w:rPr>
          <w:rFonts w:cstheme="minorHAnsi"/>
          <w:i/>
          <w:iCs/>
          <w:sz w:val="16"/>
          <w:szCs w:val="16"/>
        </w:rPr>
        <w:t>Source : Le livre scolaire 2</w:t>
      </w:r>
      <w:r>
        <w:rPr>
          <w:rFonts w:cstheme="minorHAnsi"/>
          <w:i/>
          <w:iCs/>
          <w:sz w:val="16"/>
          <w:szCs w:val="16"/>
          <w:vertAlign w:val="superscript"/>
        </w:rPr>
        <w:t>nde</w:t>
      </w:r>
      <w:r>
        <w:rPr>
          <w:rFonts w:cstheme="minorHAnsi"/>
          <w:i/>
          <w:iCs/>
          <w:sz w:val="16"/>
          <w:szCs w:val="16"/>
        </w:rPr>
        <w:t>, 2019</w:t>
      </w:r>
    </w:p>
    <w:p w14:paraId="3D6892C9" w14:textId="77777777" w:rsidR="004A38C3" w:rsidRDefault="004A38C3">
      <w:pPr>
        <w:rPr>
          <w:rFonts w:cstheme="minorHAnsi"/>
        </w:rPr>
      </w:pPr>
    </w:p>
    <w:p w14:paraId="6FD404F4" w14:textId="77777777" w:rsidR="004A38C3" w:rsidRDefault="00000000">
      <w:pPr>
        <w:rPr>
          <w:rFonts w:cstheme="minorHAnsi"/>
          <w:u w:val="single"/>
        </w:rPr>
      </w:pPr>
      <w:r>
        <w:rPr>
          <w:b/>
          <w:noProof/>
          <w:u w:val="single"/>
        </w:rPr>
        <w:lastRenderedPageBreak/>
        <mc:AlternateContent>
          <mc:Choice Requires="wpg">
            <w:drawing>
              <wp:anchor distT="0" distB="0" distL="114300" distR="114300" simplePos="0" relativeHeight="251661312" behindDoc="0" locked="0" layoutInCell="1" allowOverlap="1" wp14:anchorId="29ACC2CB" wp14:editId="63B9BD1C">
                <wp:simplePos x="0" y="0"/>
                <wp:positionH relativeFrom="margin">
                  <wp:align>left</wp:align>
                </wp:positionH>
                <wp:positionV relativeFrom="paragraph">
                  <wp:posOffset>459548</wp:posOffset>
                </wp:positionV>
                <wp:extent cx="6655435" cy="5814060"/>
                <wp:effectExtent l="0" t="0" r="0" b="0"/>
                <wp:wrapSquare wrapText="bothSides"/>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rotWithShape="1">
                        <a:blip r:embed="rId13"/>
                        <a:stretch/>
                      </pic:blipFill>
                      <pic:spPr bwMode="auto">
                        <a:xfrm>
                          <a:off x="0" y="0"/>
                          <a:ext cx="6655435" cy="581406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61312;o:allowoverlap:true;o:allowincell:true;mso-position-horizontal-relative:margin;mso-position-horizontal:left;mso-position-vertical-relative:text;margin-top:36.18pt;mso-position-vertical:absolute;width:524.05pt;height:457.80pt;mso-wrap-distance-left:9.00pt;mso-wrap-distance-top:0.00pt;mso-wrap-distance-right:9.00pt;mso-wrap-distance-bottom:0.00pt;z-index:1;" stroked="false">
                <w10:wrap type="square"/>
                <v:imagedata r:id="rId14" o:title=""/>
                <o:lock v:ext="edit" rotation="t"/>
              </v:shape>
            </w:pict>
          </mc:Fallback>
        </mc:AlternateContent>
      </w:r>
      <w:r>
        <w:rPr>
          <w:rFonts w:cstheme="minorHAnsi"/>
          <w:u w:val="single"/>
        </w:rPr>
        <w:t xml:space="preserve">Elément de différenciation possible, à fournir aux élèves en difficulté : </w:t>
      </w:r>
    </w:p>
    <w:p w14:paraId="33CEFFF9" w14:textId="77777777" w:rsidR="004A38C3" w:rsidRDefault="004A38C3">
      <w:pPr>
        <w:rPr>
          <w:rFonts w:cstheme="minorHAnsi"/>
          <w:color w:val="FF0000"/>
        </w:rPr>
      </w:pPr>
    </w:p>
    <w:sectPr w:rsidR="004A38C3">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78BF8" w14:textId="77777777" w:rsidR="001D657A" w:rsidRDefault="001D657A">
      <w:pPr>
        <w:spacing w:after="0" w:line="240" w:lineRule="auto"/>
      </w:pPr>
      <w:r>
        <w:separator/>
      </w:r>
    </w:p>
  </w:endnote>
  <w:endnote w:type="continuationSeparator" w:id="0">
    <w:p w14:paraId="2B059B34" w14:textId="77777777" w:rsidR="001D657A" w:rsidRDefault="001D6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352A1" w14:textId="77777777" w:rsidR="001D657A" w:rsidRDefault="001D657A">
      <w:pPr>
        <w:spacing w:after="0" w:line="240" w:lineRule="auto"/>
      </w:pPr>
      <w:r>
        <w:separator/>
      </w:r>
    </w:p>
  </w:footnote>
  <w:footnote w:type="continuationSeparator" w:id="0">
    <w:p w14:paraId="4E6EDF8D" w14:textId="77777777" w:rsidR="001D657A" w:rsidRDefault="001D65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A7047"/>
    <w:multiLevelType w:val="multilevel"/>
    <w:tmpl w:val="083E82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829119C"/>
    <w:multiLevelType w:val="multilevel"/>
    <w:tmpl w:val="BCC8F2EC"/>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0BD0166"/>
    <w:multiLevelType w:val="multilevel"/>
    <w:tmpl w:val="F9FC05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E753F11"/>
    <w:multiLevelType w:val="multilevel"/>
    <w:tmpl w:val="E4F636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861B73"/>
    <w:multiLevelType w:val="multilevel"/>
    <w:tmpl w:val="32A2E28C"/>
    <w:lvl w:ilvl="0">
      <w:start w:val="1"/>
      <w:numFmt w:val="bullet"/>
      <w:lvlText w:val=""/>
      <w:lvlJc w:val="left"/>
      <w:pPr>
        <w:ind w:left="720" w:hanging="360"/>
      </w:pPr>
      <w:rPr>
        <w:rFonts w:ascii="Wingdings" w:eastAsiaTheme="minorHAnsi" w:hAnsi="Wingdings" w:cstheme="majorHAns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28E39D9"/>
    <w:multiLevelType w:val="multilevel"/>
    <w:tmpl w:val="AC0A78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448347E"/>
    <w:multiLevelType w:val="multilevel"/>
    <w:tmpl w:val="B2B2EAF0"/>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num w:numId="1" w16cid:durableId="1572737337">
    <w:abstractNumId w:val="3"/>
  </w:num>
  <w:num w:numId="2" w16cid:durableId="1527330349">
    <w:abstractNumId w:val="2"/>
  </w:num>
  <w:num w:numId="3" w16cid:durableId="505360493">
    <w:abstractNumId w:val="5"/>
  </w:num>
  <w:num w:numId="4" w16cid:durableId="2138208751">
    <w:abstractNumId w:val="6"/>
  </w:num>
  <w:num w:numId="5" w16cid:durableId="157111831">
    <w:abstractNumId w:val="4"/>
  </w:num>
  <w:num w:numId="6" w16cid:durableId="664626293">
    <w:abstractNumId w:val="0"/>
  </w:num>
  <w:num w:numId="7" w16cid:durableId="10590881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8C3"/>
    <w:rsid w:val="001D657A"/>
    <w:rsid w:val="004A38C3"/>
    <w:rsid w:val="00C15CDB"/>
    <w:rsid w:val="00FA3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BE0A6"/>
  <w15:docId w15:val="{4A0BDAB9-A2CA-4A73-963A-CAD532EF4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F5496"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F5496"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F5496"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F5496"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F5496" w:themeColor="accent1" w:themeShade="BF"/>
    </w:rPr>
  </w:style>
  <w:style w:type="character" w:customStyle="1" w:styleId="Titre5Car">
    <w:name w:val="Titre 5 Car"/>
    <w:basedOn w:val="Policepardfaut"/>
    <w:link w:val="Titre5"/>
    <w:uiPriority w:val="9"/>
    <w:rPr>
      <w:rFonts w:ascii="Arial" w:eastAsia="Arial" w:hAnsi="Arial" w:cs="Arial"/>
      <w:color w:val="2F5496"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Paragraphedeliste">
    <w:name w:val="List Paragraph"/>
    <w:basedOn w:val="Normal"/>
    <w:uiPriority w:val="34"/>
    <w:qFormat/>
    <w:pPr>
      <w:ind w:left="720"/>
      <w:contextualSpacing/>
    </w:pPr>
  </w:style>
  <w:style w:type="character" w:styleId="Lienhypertexte">
    <w:name w:val="Hyperlink"/>
    <w:basedOn w:val="Policepardfaut"/>
    <w:uiPriority w:val="99"/>
    <w:unhideWhenUsed/>
    <w:rPr>
      <w:color w:val="0563C1" w:themeColor="hyperlink"/>
      <w:u w:val="single"/>
    </w:rPr>
  </w:style>
  <w:style w:type="character" w:styleId="Mentionnonrsolue">
    <w:name w:val="Unresolved Mention"/>
    <w:basedOn w:val="Policepardfaut"/>
    <w:uiPriority w:val="99"/>
    <w:semiHidden/>
    <w:unhideWhenUsed/>
    <w:rPr>
      <w:color w:val="605E5C"/>
      <w:shd w:val="clear" w:color="auto" w:fill="E1DFDD"/>
    </w:rPr>
  </w:style>
  <w:style w:type="paragraph" w:styleId="Sansinterligne">
    <w:name w:val="No Spacing"/>
    <w:uiPriority w:val="1"/>
    <w:qFormat/>
    <w:pPr>
      <w:spacing w:after="0" w:line="240" w:lineRule="auto"/>
    </w:pPr>
  </w:style>
  <w:style w:type="paragraph" w:customStyle="1" w:styleId="TableParagraph">
    <w:name w:val="Table Paragraph"/>
    <w:basedOn w:val="Normal"/>
    <w:uiPriority w:val="1"/>
    <w:qFormat/>
    <w:pPr>
      <w:widowControl w:val="0"/>
      <w:spacing w:after="0" w:line="240" w:lineRule="auto"/>
    </w:pPr>
    <w:rPr>
      <w:rFonts w:ascii="Calibri" w:eastAsia="Calibri" w:hAnsi="Calibri" w:cs="Calibri"/>
    </w:rPr>
  </w:style>
  <w:style w:type="character" w:styleId="Lienhypertextesuivivisit">
    <w:name w:val="FollowedHyperlink"/>
    <w:basedOn w:val="Policepardfau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www.youtube.com/watch?v=7P3ahyT6lYQ" TargetMode="External"/><Relationship Id="rId12"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0.png"/><Relationship Id="rId4" Type="http://schemas.openxmlformats.org/officeDocument/2006/relationships/webSettings" Target="webSettings.xml"/><Relationship Id="rId14" Type="http://schemas.openxmlformats.org/officeDocument/2006/relationships/image" Target="media/image3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594</Words>
  <Characters>3272</Characters>
  <Application>Microsoft Office Word</Application>
  <DocSecurity>0</DocSecurity>
  <Lines>27</Lines>
  <Paragraphs>7</Paragraphs>
  <ScaleCrop>false</ScaleCrop>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cp:keywords/>
  <dc:description/>
  <cp:lastModifiedBy>Manuella Van-Praet</cp:lastModifiedBy>
  <cp:revision>13</cp:revision>
  <dcterms:created xsi:type="dcterms:W3CDTF">2026-04-07T06:39:00Z</dcterms:created>
  <dcterms:modified xsi:type="dcterms:W3CDTF">2026-07-10T18:36:00Z</dcterms:modified>
</cp:coreProperties>
</file>