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E206A" w14:textId="77777777" w:rsidR="00923590" w:rsidRDefault="00000000">
      <w:pPr>
        <w:jc w:val="center"/>
        <w:rPr>
          <w:rFonts w:cstheme="minorHAnsi"/>
          <w:b/>
          <w:sz w:val="32"/>
          <w:szCs w:val="32"/>
        </w:rPr>
      </w:pPr>
      <w:r>
        <w:rPr>
          <w:rFonts w:cstheme="minorHAnsi"/>
          <w:b/>
          <w:sz w:val="32"/>
          <w:szCs w:val="32"/>
        </w:rPr>
        <w:t>Cerveau et plaisir sexuel</w:t>
      </w:r>
    </w:p>
    <w:p w14:paraId="07CE8303" w14:textId="77777777" w:rsidR="00923590" w:rsidRDefault="00000000">
      <w:pPr>
        <w:jc w:val="both"/>
        <w:rPr>
          <w:rFonts w:cstheme="minorHAnsi"/>
        </w:rPr>
      </w:pPr>
      <w:r>
        <w:rPr>
          <w:rFonts w:cstheme="minorHAnsi"/>
          <w:b/>
          <w:color w:val="00B0F0"/>
        </w:rPr>
        <w:t xml:space="preserve">Niveau de classe </w:t>
      </w:r>
      <w:r>
        <w:rPr>
          <w:rFonts w:cstheme="minorHAnsi"/>
        </w:rPr>
        <w:t>: 2nd</w:t>
      </w:r>
    </w:p>
    <w:p w14:paraId="1884D159" w14:textId="77777777" w:rsidR="00923590" w:rsidRDefault="00000000">
      <w:pPr>
        <w:jc w:val="both"/>
        <w:rPr>
          <w:rFonts w:cstheme="minorHAnsi"/>
        </w:rPr>
      </w:pPr>
      <w:r>
        <w:rPr>
          <w:rFonts w:cstheme="minorHAnsi"/>
          <w:b/>
          <w:color w:val="00B0F0"/>
        </w:rPr>
        <w:t>Notion du BO travaillée</w:t>
      </w:r>
      <w:r>
        <w:rPr>
          <w:rFonts w:cstheme="minorHAnsi"/>
          <w:color w:val="00B0F0"/>
        </w:rPr>
        <w:t> </w:t>
      </w:r>
      <w:r>
        <w:rPr>
          <w:rFonts w:cstheme="minorHAnsi"/>
        </w:rPr>
        <w:t>qui s’inscrit dans « </w:t>
      </w:r>
      <w:r>
        <w:rPr>
          <w:rFonts w:cstheme="minorHAnsi"/>
          <w:color w:val="000000" w:themeColor="text1"/>
        </w:rPr>
        <w:t>Corps humain et santé </w:t>
      </w:r>
      <w:r>
        <w:rPr>
          <w:rFonts w:cstheme="minorHAnsi"/>
        </w:rPr>
        <w:t>» &gt;&gt; « </w:t>
      </w:r>
      <w:r>
        <w:rPr>
          <w:rFonts w:cstheme="minorHAnsi"/>
          <w:color w:val="000000" w:themeColor="text1"/>
        </w:rPr>
        <w:t>ceveau, plaisir, sexualité </w:t>
      </w:r>
      <w:r>
        <w:rPr>
          <w:rFonts w:cstheme="minorHAnsi"/>
        </w:rPr>
        <w:t>» :</w:t>
      </w:r>
    </w:p>
    <w:p w14:paraId="3A601335" w14:textId="77777777" w:rsidR="00923590" w:rsidRDefault="00000000">
      <w:pPr>
        <w:spacing w:after="0" w:line="240" w:lineRule="auto"/>
        <w:jc w:val="both"/>
        <w:rPr>
          <w:rFonts w:cstheme="minorHAnsi"/>
        </w:rPr>
      </w:pPr>
      <w:r>
        <w:rPr>
          <w:rFonts w:cstheme="minorHAnsi"/>
        </w:rPr>
        <w:t>Chez l’homme et la femme, le système nerveux est impliqué dans la réalisation de la sexualité. Le plaisir repose notamment sur des mécanismes biologiques, en particulier l’activation dans le cerveau du système de récompense.</w:t>
      </w:r>
    </w:p>
    <w:p w14:paraId="12CDA3DC" w14:textId="77777777" w:rsidR="00923590" w:rsidRDefault="00000000">
      <w:pPr>
        <w:spacing w:after="0" w:line="240" w:lineRule="auto"/>
        <w:jc w:val="both"/>
        <w:rPr>
          <w:rFonts w:cstheme="minorHAnsi"/>
        </w:rPr>
      </w:pPr>
      <w:r>
        <w:rPr>
          <w:rFonts w:cstheme="minorHAnsi"/>
        </w:rPr>
        <w:t>Les facteurs affectifs et cognitifs ainsi que le contexte culturel ont une influence majeure sur le comportement sexuel humain.</w:t>
      </w:r>
    </w:p>
    <w:p w14:paraId="7613ECF6" w14:textId="77777777" w:rsidR="00923590" w:rsidRDefault="00923590">
      <w:pPr>
        <w:spacing w:after="0" w:line="240" w:lineRule="auto"/>
        <w:jc w:val="both"/>
        <w:rPr>
          <w:rFonts w:cstheme="minorHAnsi"/>
        </w:rPr>
      </w:pPr>
    </w:p>
    <w:p w14:paraId="7576827D" w14:textId="77777777" w:rsidR="00923590" w:rsidRDefault="00000000">
      <w:pPr>
        <w:pStyle w:val="Paragraphedeliste"/>
        <w:numPr>
          <w:ilvl w:val="0"/>
          <w:numId w:val="1"/>
        </w:numPr>
        <w:spacing w:after="0" w:line="240" w:lineRule="auto"/>
        <w:jc w:val="both"/>
        <w:rPr>
          <w:rFonts w:cstheme="minorHAnsi"/>
          <w:b/>
        </w:rPr>
      </w:pPr>
      <w:r>
        <w:rPr>
          <w:rFonts w:cstheme="minorHAnsi"/>
          <w:b/>
        </w:rPr>
        <w:t>L’activité vise l’étude des zones cérébrales impliquées dans la perception du plaisir dans la sexualité</w:t>
      </w:r>
    </w:p>
    <w:p w14:paraId="5E78EF9E" w14:textId="77777777" w:rsidR="00923590" w:rsidRDefault="00923590">
      <w:pPr>
        <w:pStyle w:val="Paragraphedeliste"/>
        <w:spacing w:after="0" w:line="240" w:lineRule="auto"/>
        <w:jc w:val="both"/>
        <w:rPr>
          <w:rFonts w:cstheme="minorHAnsi"/>
        </w:rPr>
      </w:pPr>
    </w:p>
    <w:p w14:paraId="608D6420" w14:textId="77777777" w:rsidR="00923590" w:rsidRDefault="00000000">
      <w:pPr>
        <w:jc w:val="both"/>
        <w:rPr>
          <w:rFonts w:cstheme="minorHAnsi"/>
        </w:rPr>
      </w:pPr>
      <w:r>
        <w:rPr>
          <w:rFonts w:cstheme="minorHAnsi"/>
          <w:b/>
          <w:color w:val="00B0F0"/>
        </w:rPr>
        <w:t>Compétence travaillée dans l’activité</w:t>
      </w:r>
      <w:r>
        <w:rPr>
          <w:rFonts w:cstheme="minorHAnsi"/>
          <w:color w:val="00B0F0"/>
        </w:rPr>
        <w:t> </w:t>
      </w:r>
      <w:r>
        <w:rPr>
          <w:rFonts w:cstheme="minorHAnsi"/>
        </w:rPr>
        <w:t>: Analyser un problème, concevoir une stratégie et en prévoir les résultats.</w:t>
      </w:r>
    </w:p>
    <w:p w14:paraId="2B4716C3" w14:textId="77777777" w:rsidR="00923590" w:rsidRDefault="00000000">
      <w:pPr>
        <w:jc w:val="both"/>
        <w:rPr>
          <w:rFonts w:cstheme="minorHAnsi"/>
        </w:rPr>
      </w:pPr>
      <w:r>
        <w:rPr>
          <w:rFonts w:cstheme="minorHAnsi"/>
          <w:b/>
          <w:color w:val="00B0F0"/>
        </w:rPr>
        <w:t>Contexte de l’activité</w:t>
      </w:r>
      <w:r>
        <w:rPr>
          <w:rFonts w:cstheme="minorHAnsi"/>
          <w:color w:val="00B0F0"/>
        </w:rPr>
        <w:t> </w:t>
      </w:r>
      <w:r>
        <w:rPr>
          <w:rFonts w:cstheme="minorHAnsi"/>
        </w:rPr>
        <w:t>: Cette activité peut s’intégrer à une séquence pour co-construire les notions visées. Elle peut être le point de départ d’une démarche expérimentale sur l’implication du cerveau dans la genèse du plaisir.</w:t>
      </w:r>
    </w:p>
    <w:p w14:paraId="61410956" w14:textId="77777777" w:rsidR="00923590" w:rsidRDefault="00000000">
      <w:pPr>
        <w:jc w:val="both"/>
        <w:rPr>
          <w:rFonts w:cstheme="minorHAnsi"/>
        </w:rPr>
      </w:pPr>
      <w:r>
        <w:rPr>
          <w:rFonts w:cstheme="minorHAnsi"/>
          <w:b/>
          <w:color w:val="00B0F0"/>
        </w:rPr>
        <w:t xml:space="preserve">Contenu de l’activité </w:t>
      </w:r>
      <w:r>
        <w:rPr>
          <w:rFonts w:cstheme="minorHAnsi"/>
        </w:rPr>
        <w:t>:</w:t>
      </w:r>
    </w:p>
    <w:p w14:paraId="1710018F" w14:textId="500940FD" w:rsidR="00923590" w:rsidRDefault="00000000">
      <w:pPr>
        <w:jc w:val="both"/>
        <w:rPr>
          <w:rFonts w:cstheme="minorHAnsi"/>
          <w:color w:val="FF0000"/>
        </w:rPr>
      </w:pPr>
      <w:r>
        <w:rPr>
          <w:rFonts w:cstheme="minorHAnsi"/>
          <w:u w:val="single"/>
        </w:rPr>
        <w:t>Consigne </w:t>
      </w:r>
      <w:r>
        <w:rPr>
          <w:rFonts w:cstheme="minorHAnsi"/>
        </w:rPr>
        <w:t>:</w:t>
      </w:r>
      <w:r>
        <w:rPr>
          <w:rFonts w:cstheme="minorHAnsi"/>
          <w:b/>
          <w:bCs/>
        </w:rPr>
        <w:t xml:space="preserve"> Concevoir une stratégie de résolution</w:t>
      </w:r>
      <w:r>
        <w:rPr>
          <w:rFonts w:cstheme="minorHAnsi"/>
        </w:rPr>
        <w:t xml:space="preserve"> </w:t>
      </w:r>
      <w:r w:rsidR="00933228">
        <w:rPr>
          <w:rFonts w:cstheme="minorHAnsi"/>
        </w:rPr>
        <w:t>afin de</w:t>
      </w:r>
      <w:r>
        <w:rPr>
          <w:rFonts w:cstheme="minorHAnsi"/>
        </w:rPr>
        <w:t xml:space="preserve"> montrer que le cerveau intervient dans le plaisir et </w:t>
      </w:r>
      <w:r w:rsidR="00933228">
        <w:rPr>
          <w:rFonts w:cstheme="minorHAnsi"/>
        </w:rPr>
        <w:t>d’</w:t>
      </w:r>
      <w:r>
        <w:rPr>
          <w:rFonts w:cstheme="minorHAnsi"/>
        </w:rPr>
        <w:t>identifier les zones cérébrales impliquées.</w:t>
      </w:r>
    </w:p>
    <w:p w14:paraId="5C189234" w14:textId="77777777" w:rsidR="00923590" w:rsidRDefault="00000000">
      <w:pPr>
        <w:pStyle w:val="Sansinterligne"/>
        <w:jc w:val="both"/>
        <w:rPr>
          <w:rFonts w:cstheme="minorHAnsi"/>
        </w:rPr>
      </w:pPr>
      <w:r>
        <w:rPr>
          <w:rFonts w:cstheme="minorHAnsi"/>
          <w:u w:val="single"/>
        </w:rPr>
        <w:t>Document</w:t>
      </w:r>
      <w:r>
        <w:rPr>
          <w:rFonts w:cstheme="minorHAnsi"/>
        </w:rPr>
        <w:t xml:space="preserve"> : </w:t>
      </w:r>
    </w:p>
    <w:p w14:paraId="35ADCB21" w14:textId="77777777" w:rsidR="00923590" w:rsidRDefault="00923590">
      <w:pPr>
        <w:pStyle w:val="Sansinterligne"/>
        <w:jc w:val="both"/>
        <w:rPr>
          <w:rFonts w:cstheme="minorHAnsi"/>
          <w:color w:val="FF0000"/>
        </w:rPr>
      </w:pPr>
    </w:p>
    <w:p w14:paraId="67567C97" w14:textId="77777777" w:rsidR="00923590" w:rsidRDefault="00000000">
      <w:pPr>
        <w:jc w:val="both"/>
        <w:rPr>
          <w:rFonts w:cstheme="minorHAnsi"/>
        </w:rPr>
      </w:pPr>
      <w:r>
        <w:rPr>
          <w:rFonts w:cstheme="minorHAnsi"/>
          <w:u w:val="single"/>
        </w:rPr>
        <w:t>Document 1</w:t>
      </w:r>
      <w:r>
        <w:rPr>
          <w:rFonts w:cstheme="minorHAnsi"/>
        </w:rPr>
        <w:t xml:space="preserve"> : Passage d’un examen d’imagerie par résonance magnétique fonctionnelle (IRMf),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4224"/>
      </w:tblGrid>
      <w:tr w:rsidR="00923590" w14:paraId="08F9F98B" w14:textId="77777777">
        <w:tc>
          <w:tcPr>
            <w:tcW w:w="6232" w:type="dxa"/>
            <w:vAlign w:val="center"/>
          </w:tcPr>
          <w:p w14:paraId="7BF69142" w14:textId="77777777" w:rsidR="00923590" w:rsidRDefault="00000000">
            <w:pPr>
              <w:rPr>
                <w:rFonts w:cstheme="minorHAnsi"/>
              </w:rPr>
            </w:pPr>
            <w:r>
              <w:rPr>
                <w:rFonts w:cstheme="minorHAnsi"/>
              </w:rPr>
              <w:t>L’IRMf permet de visualiser de manière indirecte l’activité des différentes zones du cerveau lorsque l’on soumet une personne à un stimulus donné. La technique consiste à enregistrer des variations du flux sanguin dans le cerveau. Lorsque les zones sont activées par le stimulus, elles apparaissent en couleur (du bleu ou rouge selon le degré d’activité croissante).</w:t>
            </w:r>
          </w:p>
          <w:p w14:paraId="3D2F7A1A" w14:textId="77777777" w:rsidR="00923590" w:rsidRDefault="00923590">
            <w:pPr>
              <w:rPr>
                <w:rFonts w:cstheme="minorHAnsi"/>
              </w:rPr>
            </w:pPr>
          </w:p>
        </w:tc>
        <w:tc>
          <w:tcPr>
            <w:tcW w:w="4224" w:type="dxa"/>
            <w:vAlign w:val="center"/>
          </w:tcPr>
          <w:p w14:paraId="616C0B4A" w14:textId="77777777" w:rsidR="00923590" w:rsidRDefault="00000000">
            <w:pPr>
              <w:rPr>
                <w:rFonts w:cstheme="minorHAnsi"/>
              </w:rPr>
            </w:pPr>
            <w:r>
              <w:rPr>
                <w:rFonts w:cstheme="minorHAnsi"/>
                <w:noProof/>
                <w:lang w:eastAsia="fr-FR"/>
              </w:rPr>
              <mc:AlternateContent>
                <mc:Choice Requires="wpg">
                  <w:drawing>
                    <wp:inline distT="0" distB="0" distL="0" distR="0" wp14:anchorId="686761F0" wp14:editId="612524CE">
                      <wp:extent cx="2486025" cy="1704975"/>
                      <wp:effectExtent l="0" t="0" r="9525" b="9525"/>
                      <wp:docPr id="1" name="Image 1" descr="Une image contenant Équipement médical, soins de santé, médical,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0704" name="Image 1" descr="Une image contenant Équipement médical, soins de santé, médical, texte&#10;&#10;Le contenu généré par l’IA peut être incorrect."/>
                              <pic:cNvPicPr>
                                <a:picLocks noChangeAspect="1"/>
                              </pic:cNvPicPr>
                            </pic:nvPicPr>
                            <pic:blipFill rotWithShape="1">
                              <a:blip r:embed="rId7"/>
                              <a:srcRect l="30516" t="13378" r="29051" b="11789"/>
                              <a:stretch/>
                            </pic:blipFill>
                            <pic:spPr bwMode="auto">
                              <a:xfrm>
                                <a:off x="0" y="0"/>
                                <a:ext cx="2486025" cy="170497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95.75pt;height:134.25pt;mso-wrap-distance-left:0.00pt;mso-wrap-distance-top:0.00pt;mso-wrap-distance-right:0.00pt;mso-wrap-distance-bottom:0.00pt;z-index:1;" stroked="f">
                      <v:imagedata r:id="rId9" o:title="" croptop="8767f" cropleft="19999f" cropbottom="7726f" cropright="19039f"/>
                      <o:lock v:ext="edit" rotation="t"/>
                    </v:shape>
                  </w:pict>
                </mc:Fallback>
              </mc:AlternateContent>
            </w:r>
          </w:p>
        </w:tc>
      </w:tr>
    </w:tbl>
    <w:p w14:paraId="78E6ECEF" w14:textId="77777777" w:rsidR="00923590" w:rsidRDefault="00000000">
      <w:pPr>
        <w:jc w:val="right"/>
        <w:rPr>
          <w:rFonts w:cstheme="minorHAnsi"/>
          <w:b/>
          <w:bCs/>
          <w:i/>
          <w:iCs/>
          <w:u w:val="single"/>
        </w:rPr>
      </w:pPr>
      <w:r>
        <w:rPr>
          <w:rFonts w:cstheme="minorHAnsi"/>
          <w:i/>
          <w:iCs/>
        </w:rPr>
        <w:t>D’après le livre scolaire</w:t>
      </w:r>
    </w:p>
    <w:p w14:paraId="4E1C89CE" w14:textId="77777777" w:rsidR="00923590" w:rsidRDefault="00000000">
      <w:pPr>
        <w:jc w:val="both"/>
        <w:rPr>
          <w:rFonts w:cstheme="minorHAnsi"/>
          <w:i/>
          <w:iCs/>
        </w:rPr>
      </w:pPr>
      <w:r>
        <w:rPr>
          <w:rFonts w:cstheme="minorHAnsi"/>
          <w:u w:val="single"/>
        </w:rPr>
        <w:t>Document 2</w:t>
      </w:r>
      <w:r>
        <w:rPr>
          <w:rFonts w:cstheme="minorHAnsi"/>
        </w:rPr>
        <w:t> : Exemple d’IRMf obtenue grâce au Logiciel Edunatomist2</w:t>
      </w:r>
    </w:p>
    <w:p w14:paraId="37DF7CC7" w14:textId="77777777" w:rsidR="00923590" w:rsidRDefault="00000000">
      <w:pPr>
        <w:jc w:val="both"/>
        <w:rPr>
          <w:rFonts w:cstheme="minorHAnsi"/>
        </w:rPr>
      </w:pPr>
      <w:r>
        <w:rPr>
          <w:rFonts w:cstheme="minorHAnsi"/>
        </w:rPr>
        <w:t>IRMf obtenue chez un sujet est exposé alternativement à des sons dépourvus de sens et à des périodes de silence.</w:t>
      </w:r>
    </w:p>
    <w:p w14:paraId="13C2A913" w14:textId="77777777" w:rsidR="00923590" w:rsidRDefault="00000000">
      <w:pPr>
        <w:jc w:val="center"/>
        <w:rPr>
          <w:rFonts w:cstheme="minorHAnsi"/>
          <w:i/>
          <w:iCs/>
        </w:rPr>
      </w:pPr>
      <w:r>
        <w:rPr>
          <w:rFonts w:cstheme="minorHAnsi"/>
          <w:noProof/>
          <w:lang w:eastAsia="fr-FR"/>
        </w:rPr>
        <mc:AlternateContent>
          <mc:Choice Requires="wpg">
            <w:drawing>
              <wp:inline distT="0" distB="0" distL="0" distR="0" wp14:anchorId="6901CCE6" wp14:editId="051E7A23">
                <wp:extent cx="4543771" cy="2460625"/>
                <wp:effectExtent l="0" t="0" r="9525" b="0"/>
                <wp:docPr id="2" name="Image 1" descr="Une image contenant Imagerie médicale, capture d’écran, radiologi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9561" name="Image 1" descr="Une image contenant Imagerie médicale, capture d’écran, radiologie, médical&#10;&#10;Le contenu généré par l’IA peut être incorrect."/>
                        <pic:cNvPicPr>
                          <a:picLocks noChangeAspect="1"/>
                        </pic:cNvPicPr>
                      </pic:nvPicPr>
                      <pic:blipFill rotWithShape="1">
                        <a:blip r:embed="rId10"/>
                        <a:stretch/>
                      </pic:blipFill>
                      <pic:spPr bwMode="auto">
                        <a:xfrm>
                          <a:off x="0" y="0"/>
                          <a:ext cx="4546603" cy="2462159"/>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57.78pt;height:193.75pt;mso-wrap-distance-left:0.00pt;mso-wrap-distance-top:0.00pt;mso-wrap-distance-right:0.00pt;mso-wrap-distance-bottom:0.00pt;z-index:1;" stroked="f">
                <v:imagedata r:id="rId11" o:title=""/>
                <o:lock v:ext="edit" rotation="t"/>
              </v:shape>
            </w:pict>
          </mc:Fallback>
        </mc:AlternateContent>
      </w:r>
    </w:p>
    <w:p w14:paraId="2DDCFC05" w14:textId="77777777" w:rsidR="00923590" w:rsidRDefault="00000000">
      <w:pPr>
        <w:jc w:val="right"/>
        <w:rPr>
          <w:rFonts w:cstheme="minorHAnsi"/>
          <w:i/>
          <w:iCs/>
        </w:rPr>
      </w:pPr>
      <w:r>
        <w:rPr>
          <w:rFonts w:cstheme="minorHAnsi"/>
          <w:i/>
          <w:iCs/>
        </w:rPr>
        <w:t>https://www.pedagogie.ac-nice.fr/svt/?p=1266</w:t>
      </w:r>
    </w:p>
    <w:p w14:paraId="11BD158D" w14:textId="77777777" w:rsidR="00923590" w:rsidRDefault="00000000">
      <w:pPr>
        <w:jc w:val="both"/>
        <w:rPr>
          <w:rFonts w:cstheme="minorHAnsi"/>
        </w:rPr>
      </w:pPr>
      <w:r>
        <w:rPr>
          <w:rFonts w:cstheme="minorHAnsi"/>
          <w:u w:val="single"/>
        </w:rPr>
        <w:lastRenderedPageBreak/>
        <w:t>Document 3</w:t>
      </w:r>
      <w:r>
        <w:rPr>
          <w:rFonts w:cstheme="minorHAnsi"/>
        </w:rPr>
        <w:t xml:space="preserve"> : Cartographie cérébrale </w:t>
      </w:r>
    </w:p>
    <w:p w14:paraId="1DF06B83" w14:textId="77777777" w:rsidR="00923590" w:rsidRDefault="00000000">
      <w:pPr>
        <w:ind w:left="-284"/>
        <w:jc w:val="both"/>
        <w:rPr>
          <w:rFonts w:cstheme="minorHAnsi"/>
        </w:rPr>
      </w:pPr>
      <w:r>
        <w:rPr>
          <w:rFonts w:cstheme="minorHAnsi"/>
          <w:noProof/>
          <w:lang w:eastAsia="fr-FR"/>
        </w:rPr>
        <mc:AlternateContent>
          <mc:Choice Requires="wpg">
            <w:drawing>
              <wp:inline distT="0" distB="0" distL="0" distR="0" wp14:anchorId="7D403760" wp14:editId="23995397">
                <wp:extent cx="6451600" cy="2774950"/>
                <wp:effectExtent l="0" t="0" r="6350" b="6350"/>
                <wp:docPr id="3" name="Groupe 1"/>
                <wp:cNvGraphicFramePr/>
                <a:graphic xmlns:a="http://schemas.openxmlformats.org/drawingml/2006/main">
                  <a:graphicData uri="http://schemas.microsoft.com/office/word/2010/wordprocessingGroup">
                    <wpg:wgp>
                      <wpg:cNvGrpSpPr/>
                      <wpg:grpSpPr bwMode="auto">
                        <a:xfrm>
                          <a:off x="0" y="0"/>
                          <a:ext cx="6451600" cy="2774950"/>
                          <a:chOff x="0" y="0"/>
                          <a:chExt cx="7171055" cy="2991304"/>
                        </a:xfrm>
                      </wpg:grpSpPr>
                      <pic:pic xmlns:pic="http://schemas.openxmlformats.org/drawingml/2006/picture">
                        <pic:nvPicPr>
                          <pic:cNvPr id="1097114992" name="Image 4"/>
                          <pic:cNvPicPr>
                            <a:picLocks noChangeAspect="1"/>
                          </pic:cNvPicPr>
                        </pic:nvPicPr>
                        <pic:blipFill rotWithShape="1">
                          <a:blip r:embed="rId12"/>
                          <a:stretch/>
                        </pic:blipFill>
                        <pic:spPr bwMode="auto">
                          <a:xfrm>
                            <a:off x="2194560" y="0"/>
                            <a:ext cx="4976495" cy="2327275"/>
                          </a:xfrm>
                          <a:prstGeom prst="rect">
                            <a:avLst/>
                          </a:prstGeom>
                          <a:noFill/>
                          <a:ln>
                            <a:noFill/>
                          </a:ln>
                        </pic:spPr>
                      </pic:pic>
                      <pic:pic xmlns:pic="http://schemas.openxmlformats.org/drawingml/2006/picture">
                        <pic:nvPicPr>
                          <pic:cNvPr id="955687739" name="Image 8"/>
                          <pic:cNvPicPr>
                            <a:picLocks noChangeAspect="1"/>
                          </pic:cNvPicPr>
                        </pic:nvPicPr>
                        <pic:blipFill rotWithShape="1">
                          <a:blip r:embed="rId13"/>
                          <a:srcRect t="4762"/>
                          <a:stretch/>
                        </pic:blipFill>
                        <pic:spPr bwMode="auto">
                          <a:xfrm>
                            <a:off x="0" y="1685109"/>
                            <a:ext cx="1437005" cy="1306195"/>
                          </a:xfrm>
                          <a:prstGeom prst="rect">
                            <a:avLst/>
                          </a:prstGeom>
                          <a:noFill/>
                          <a:ln>
                            <a:noFill/>
                          </a:ln>
                        </pic:spPr>
                      </pic:pic>
                      <pic:pic xmlns:pic="http://schemas.openxmlformats.org/drawingml/2006/picture">
                        <pic:nvPicPr>
                          <pic:cNvPr id="2143932153" name="Image 7"/>
                          <pic:cNvPicPr>
                            <a:picLocks noChangeAspect="1"/>
                          </pic:cNvPicPr>
                        </pic:nvPicPr>
                        <pic:blipFill rotWithShape="1">
                          <a:blip r:embed="rId14"/>
                          <a:srcRect t="5555"/>
                          <a:stretch/>
                        </pic:blipFill>
                        <pic:spPr bwMode="auto">
                          <a:xfrm>
                            <a:off x="0" y="352697"/>
                            <a:ext cx="1802764" cy="1332229"/>
                          </a:xfrm>
                          <a:prstGeom prst="rect">
                            <a:avLst/>
                          </a:prstGeom>
                          <a:noFill/>
                          <a:ln>
                            <a:noFill/>
                          </a:ln>
                        </pic:spPr>
                      </pic:pic>
                    </wpg:wgp>
                  </a:graphicData>
                </a:graphic>
              </wp:inline>
            </w:drawing>
          </mc:Choice>
          <mc:Fallback xmlns:a="http://schemas.openxmlformats.org/drawingml/2006/main">
            <w:pict>
              <v:group id="group 2" o:spid="_x0000_s0000" style="width:508.00pt;height:218.50pt;mso-wrap-distance-left:0.00pt;mso-wrap-distance-top:0.00pt;mso-wrap-distance-right:0.00pt;mso-wrap-distance-bottom:0.00pt;" coordorigin="0,0" coordsize="71710,29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left:21945;top:0;width:49764;height:23272;z-index:1;" stroked="f">
                  <v:imagedata r:id="rId15"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left:0;top:16851;width:14370;height:13061;z-index:1;" stroked="f">
                  <v:imagedata r:id="rId16" o:title="" croptop="3121f" cropleft="0f" cropbottom="0f" cropright="0f"/>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left:0;top:3526;width:18027;height:13322;z-index:1;" stroked="f">
                  <v:imagedata r:id="rId17" o:title="" croptop="3641f" cropleft="0f" cropbottom="0f" cropright="0f"/>
                  <o:lock v:ext="edit" rotation="t"/>
                </v:shape>
              </v:group>
            </w:pict>
          </mc:Fallback>
        </mc:AlternateContent>
      </w:r>
    </w:p>
    <w:p w14:paraId="2B59374A" w14:textId="77777777" w:rsidR="00923590" w:rsidRDefault="00000000">
      <w:pPr>
        <w:ind w:left="-284"/>
        <w:jc w:val="right"/>
        <w:rPr>
          <w:rFonts w:cstheme="minorHAnsi"/>
          <w:b/>
          <w:bCs/>
          <w:i/>
          <w:iCs/>
        </w:rPr>
      </w:pPr>
      <w:r>
        <w:rPr>
          <w:rStyle w:val="lev"/>
          <w:rFonts w:cstheme="minorHAnsi"/>
          <w:b w:val="0"/>
          <w:bCs w:val="0"/>
          <w:i/>
          <w:iCs/>
          <w:color w:val="000000"/>
          <w:shd w:val="clear" w:color="auto" w:fill="FFFFFF"/>
        </w:rPr>
        <w:t>Image : Marcel TAPPAZ Neurobiologiste - Directeur de Recherche CNRS honoraire</w:t>
      </w:r>
    </w:p>
    <w:p w14:paraId="18AADC4A" w14:textId="77777777" w:rsidR="00923590" w:rsidRDefault="00923590">
      <w:pPr>
        <w:spacing w:after="0" w:line="240" w:lineRule="auto"/>
        <w:ind w:left="-284"/>
        <w:contextualSpacing/>
        <w:jc w:val="both"/>
        <w:rPr>
          <w:rFonts w:cstheme="minorHAnsi"/>
          <w:b/>
          <w:bCs/>
        </w:rPr>
      </w:pPr>
    </w:p>
    <w:p w14:paraId="6DD1C484" w14:textId="77777777" w:rsidR="00923590" w:rsidRDefault="00923590">
      <w:pPr>
        <w:spacing w:after="0" w:line="240" w:lineRule="auto"/>
        <w:ind w:left="-284"/>
        <w:contextualSpacing/>
        <w:jc w:val="both"/>
        <w:rPr>
          <w:rFonts w:cstheme="minorHAnsi"/>
          <w:b/>
          <w:bCs/>
        </w:rPr>
        <w:sectPr w:rsidR="00923590">
          <w:pgSz w:w="11906" w:h="16838"/>
          <w:pgMar w:top="720" w:right="720" w:bottom="720" w:left="720" w:header="708" w:footer="708" w:gutter="0"/>
          <w:cols w:space="708"/>
        </w:sectPr>
      </w:pPr>
    </w:p>
    <w:p w14:paraId="236D00A7" w14:textId="3B9046A2" w:rsidR="00923590" w:rsidRDefault="00000000">
      <w:pPr>
        <w:jc w:val="both"/>
        <w:rPr>
          <w:rFonts w:cstheme="minorHAnsi"/>
        </w:rPr>
      </w:pPr>
      <w:r>
        <w:rPr>
          <w:rFonts w:cstheme="minorHAnsi"/>
          <w:b/>
          <w:color w:val="00B0F0"/>
        </w:rPr>
        <w:lastRenderedPageBreak/>
        <w:t xml:space="preserve">Critères de réussite de la compétence travaillée </w:t>
      </w:r>
      <w:r>
        <w:rPr>
          <w:rFonts w:cstheme="minorHAnsi"/>
        </w:rPr>
        <w:t xml:space="preserve">: </w:t>
      </w:r>
      <w:r w:rsidR="00D61F50">
        <w:rPr>
          <w:rFonts w:cstheme="minorHAnsi"/>
        </w:rPr>
        <w:t>Concevoir une stratégie de résolution pour répondre à un problème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923590" w14:paraId="4FC10DB2"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27BED485" w14:textId="77777777" w:rsidR="00923590" w:rsidRDefault="00000000">
            <w:pPr>
              <w:spacing w:after="0" w:line="240" w:lineRule="auto"/>
              <w:jc w:val="both"/>
              <w:rPr>
                <w:rFonts w:cstheme="minorHAnsi"/>
                <w:b/>
              </w:rPr>
            </w:pPr>
            <w:r>
              <w:rPr>
                <w:rFonts w:cstheme="minorHAnsi"/>
                <w:b/>
              </w:rPr>
              <w:t xml:space="preserve">Je réussis si : </w:t>
            </w:r>
          </w:p>
          <w:p w14:paraId="5EEBC197" w14:textId="77777777" w:rsidR="00923590" w:rsidRDefault="00000000">
            <w:pPr>
              <w:spacing w:after="0" w:line="240" w:lineRule="auto"/>
              <w:jc w:val="both"/>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156E9E71" w14:textId="77777777" w:rsidR="00923590" w:rsidRDefault="00000000">
            <w:pPr>
              <w:spacing w:after="0" w:line="240" w:lineRule="auto"/>
              <w:jc w:val="both"/>
              <w:rPr>
                <w:rFonts w:cstheme="minorHAnsi"/>
                <w:b/>
              </w:rPr>
            </w:pPr>
            <w:r>
              <w:rPr>
                <w:rFonts w:cstheme="minorHAnsi"/>
                <w:b/>
              </w:rPr>
              <w:t>Evaluation</w:t>
            </w:r>
          </w:p>
        </w:tc>
      </w:tr>
      <w:tr w:rsidR="00923590" w14:paraId="72727C3A"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C374BCB" w14:textId="77777777" w:rsidR="00923590" w:rsidRDefault="00000000">
            <w:pPr>
              <w:pStyle w:val="Sansinterligne"/>
              <w:jc w:val="both"/>
              <w:rPr>
                <w:rFonts w:cstheme="minorHAnsi"/>
              </w:rPr>
            </w:pPr>
            <w:r>
              <w:rPr>
                <w:rFonts w:cstheme="minorHAnsi"/>
                <w:u w:val="single"/>
              </w:rPr>
              <w:t>PERTINENCE</w:t>
            </w:r>
            <w:r>
              <w:rPr>
                <w:rFonts w:cstheme="minorHAnsi"/>
                <w:spacing w:val="-6"/>
              </w:rPr>
              <w:t xml:space="preserve"> </w:t>
            </w:r>
            <w:r>
              <w:rPr>
                <w:rFonts w:cstheme="minorHAnsi"/>
              </w:rPr>
              <w:t xml:space="preserve">: </w:t>
            </w:r>
            <w:r>
              <w:rPr>
                <w:rFonts w:cstheme="minorHAnsi"/>
                <w14:ligatures w14:val="standardContextual"/>
              </w:rPr>
              <w:t xml:space="preserve">Ma stratégie permet de </w:t>
            </w:r>
            <w:r>
              <w:rPr>
                <w:rFonts w:cstheme="minorHAnsi"/>
                <w:b/>
                <w14:ligatures w14:val="standardContextual"/>
              </w:rPr>
              <w:t>tester l’hypothèse</w:t>
            </w:r>
            <w:r>
              <w:rPr>
                <w:rFonts w:cstheme="minorHAnsi"/>
                <w14:ligatures w14:val="standardContextual"/>
              </w:rPr>
              <w:t xml:space="preserve"> énoncée en rapport avec le </w:t>
            </w:r>
            <w:r>
              <w:rPr>
                <w:rFonts w:cstheme="minorHAnsi"/>
                <w:b/>
                <w14:ligatures w14:val="standardContextual"/>
              </w:rPr>
              <w:t>problème à résoudre</w:t>
            </w:r>
            <w:r>
              <w:rPr>
                <w:rFonts w:cstheme="minorHAnsi"/>
                <w14:ligatures w14:val="standardContextual"/>
              </w:rPr>
              <w:t xml:space="preserve">, et d’obtenir des </w:t>
            </w:r>
            <w:r>
              <w:rPr>
                <w:rFonts w:cstheme="minorHAnsi"/>
                <w:b/>
                <w14:ligatures w14:val="standardContextual"/>
              </w:rPr>
              <w:t>résultats exploitables</w:t>
            </w:r>
            <w:r>
              <w:rPr>
                <w:rFonts w:cstheme="minorHAnsi"/>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30637454" w14:textId="77777777" w:rsidR="00923590" w:rsidRDefault="00923590">
            <w:pPr>
              <w:jc w:val="both"/>
              <w:rPr>
                <w:rFonts w:cstheme="minorHAnsi"/>
              </w:rPr>
            </w:pPr>
          </w:p>
        </w:tc>
      </w:tr>
      <w:tr w:rsidR="00923590" w14:paraId="38BDA345"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D14A260" w14:textId="77777777" w:rsidR="00923590" w:rsidRDefault="00000000">
            <w:pPr>
              <w:pStyle w:val="Sansinterligne"/>
              <w:jc w:val="both"/>
              <w:rPr>
                <w:rFonts w:cstheme="minorHAnsi"/>
                <w14:ligatures w14:val="standardContextual"/>
              </w:rPr>
            </w:pPr>
            <w:r>
              <w:rPr>
                <w:rFonts w:cstheme="minorHAnsi"/>
                <w:u w:val="single"/>
              </w:rPr>
              <w:t xml:space="preserve">COMPLETUDE </w:t>
            </w:r>
            <w:r>
              <w:rPr>
                <w:rFonts w:cstheme="minorHAnsi"/>
              </w:rPr>
              <w:t xml:space="preserve">: </w:t>
            </w:r>
            <w:r>
              <w:rPr>
                <w:rFonts w:cstheme="minorHAnsi"/>
                <w14:ligatures w14:val="standardContextual"/>
              </w:rPr>
              <w:t xml:space="preserve">Ma stratégie de résolution contient 3 parties : </w:t>
            </w:r>
          </w:p>
          <w:p w14:paraId="0BA60688" w14:textId="77777777" w:rsidR="00923590" w:rsidRDefault="00000000">
            <w:pPr>
              <w:pStyle w:val="Sansinterligne"/>
              <w:jc w:val="both"/>
              <w:rPr>
                <w:rFonts w:cstheme="minorHAnsi"/>
                <w14:ligatures w14:val="standardContextual"/>
              </w:rPr>
            </w:pPr>
            <w:r>
              <w:rPr>
                <w:rFonts w:cstheme="minorHAnsi"/>
                <w14:ligatures w14:val="standardContextual"/>
              </w:rPr>
              <w:t xml:space="preserve">- </w:t>
            </w:r>
            <w:r>
              <w:rPr>
                <w:rFonts w:cstheme="minorHAnsi"/>
                <w:b/>
                <w14:ligatures w14:val="standardContextual"/>
              </w:rPr>
              <w:t>ce que je fais</w:t>
            </w:r>
            <w:r>
              <w:rPr>
                <w:rFonts w:cstheme="minorHAnsi"/>
                <w14:ligatures w14:val="standardContextual"/>
              </w:rPr>
              <w:t> : objectif et principe de la méthode.</w:t>
            </w:r>
          </w:p>
          <w:p w14:paraId="7B555815" w14:textId="77777777" w:rsidR="00923590" w:rsidRDefault="00000000">
            <w:pPr>
              <w:spacing w:after="0"/>
              <w:jc w:val="both"/>
              <w:rPr>
                <w:rFonts w:cstheme="minorHAnsi"/>
                <w14:ligatures w14:val="standardContextual"/>
              </w:rPr>
            </w:pPr>
            <w:r>
              <w:rPr>
                <w:rFonts w:cstheme="minorHAnsi"/>
                <w14:ligatures w14:val="standardContextual"/>
              </w:rPr>
              <w:t xml:space="preserve">- </w:t>
            </w:r>
            <w:r>
              <w:rPr>
                <w:rFonts w:cstheme="minorHAnsi"/>
                <w:b/>
                <w14:ligatures w14:val="standardContextual"/>
              </w:rPr>
              <w:t>comment je le fais</w:t>
            </w:r>
            <w:r>
              <w:rPr>
                <w:rFonts w:cstheme="minorHAnsi"/>
                <w14:ligatures w14:val="standardContextual"/>
              </w:rPr>
              <w:t> : il est prévu une situation de comparaison : un témoin et un test entre lesquels un unique paramètre varie. Il est précisé comment les résultats seront observés : par exemple grâce à un microscope optique, par l’utilisation de réactifs, d’un logiciel, etc.</w:t>
            </w:r>
          </w:p>
          <w:p w14:paraId="1421252D" w14:textId="77777777" w:rsidR="00923590" w:rsidRDefault="00000000">
            <w:pPr>
              <w:pStyle w:val="Sansinterligne"/>
              <w:jc w:val="both"/>
              <w:rPr>
                <w:rFonts w:cstheme="minorHAnsi"/>
              </w:rPr>
            </w:pPr>
            <w:r>
              <w:rPr>
                <w:rFonts w:cstheme="minorHAnsi"/>
                <w14:ligatures w14:val="standardContextual"/>
              </w:rPr>
              <w:t xml:space="preserve">- </w:t>
            </w:r>
            <w:r>
              <w:rPr>
                <w:rFonts w:cstheme="minorHAnsi"/>
                <w:b/>
                <w14:ligatures w14:val="standardContextual"/>
              </w:rPr>
              <w:t>ce que j’attends </w:t>
            </w:r>
            <w:r>
              <w:rPr>
                <w:rFonts w:cstheme="minorHAnsi"/>
                <w14:ligatures w14:val="standardContextual"/>
              </w:rPr>
              <w:t>: les résultats attendus sont décrit.</w:t>
            </w:r>
          </w:p>
        </w:tc>
        <w:tc>
          <w:tcPr>
            <w:tcW w:w="1503" w:type="dxa"/>
            <w:tcBorders>
              <w:top w:val="single" w:sz="4" w:space="0" w:color="auto"/>
              <w:left w:val="single" w:sz="4" w:space="0" w:color="auto"/>
              <w:bottom w:val="single" w:sz="4" w:space="0" w:color="auto"/>
              <w:right w:val="single" w:sz="4" w:space="0" w:color="auto"/>
            </w:tcBorders>
          </w:tcPr>
          <w:p w14:paraId="569BF973" w14:textId="77777777" w:rsidR="00923590" w:rsidRDefault="00923590">
            <w:pPr>
              <w:jc w:val="both"/>
              <w:rPr>
                <w:rFonts w:cstheme="minorHAnsi"/>
              </w:rPr>
            </w:pPr>
          </w:p>
        </w:tc>
      </w:tr>
      <w:tr w:rsidR="00923590" w14:paraId="50B6E47E"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E2D5685" w14:textId="77777777" w:rsidR="00923590" w:rsidRDefault="00000000">
            <w:pPr>
              <w:pStyle w:val="TableParagraph"/>
              <w:spacing w:before="105" w:line="264" w:lineRule="exact"/>
              <w:jc w:val="both"/>
              <w:rPr>
                <w:rFonts w:asciiTheme="minorHAnsi" w:hAnsiTheme="minorHAnsi" w:cstheme="minorHAnsi"/>
                <w:b/>
              </w:rPr>
            </w:pPr>
            <w:r>
              <w:rPr>
                <w:rFonts w:asciiTheme="minorHAnsi" w:eastAsiaTheme="minorHAnsi" w:hAnsiTheme="minorHAnsi" w:cstheme="minorHAnsi"/>
                <w:u w:val="single"/>
                <w14:ligatures w14:val="standardContextual"/>
              </w:rPr>
              <w:t>EXACTITUDE</w:t>
            </w:r>
            <w:r>
              <w:rPr>
                <w:rFonts w:asciiTheme="minorHAnsi" w:eastAsiaTheme="minorHAnsi" w:hAnsiTheme="minorHAnsi" w:cstheme="minorHAnsi"/>
                <w14:ligatures w14:val="standardContextual"/>
              </w:rPr>
              <w:t xml:space="preserve"> : </w:t>
            </w:r>
            <w:r>
              <w:rPr>
                <w:rFonts w:asciiTheme="minorHAnsi" w:hAnsiTheme="minorHAnsi" w:cstheme="minorHAnsi"/>
              </w:rPr>
              <w:t>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 /rigoureuse :</w:t>
            </w:r>
          </w:p>
          <w:p w14:paraId="0C5D1EF6" w14:textId="77777777" w:rsidR="00923590" w:rsidRDefault="00000000">
            <w:pPr>
              <w:pStyle w:val="TableParagraph"/>
              <w:numPr>
                <w:ilvl w:val="0"/>
                <w:numId w:val="8"/>
              </w:numPr>
              <w:tabs>
                <w:tab w:val="left" w:pos="805"/>
              </w:tabs>
              <w:spacing w:line="260" w:lineRule="exact"/>
              <w:jc w:val="both"/>
              <w:rPr>
                <w:rFonts w:asciiTheme="minorHAnsi" w:hAnsiTheme="minorHAnsi" w:cstheme="minorHAnsi"/>
              </w:rPr>
            </w:pPr>
            <w:r>
              <w:rPr>
                <w:rFonts w:asciiTheme="minorHAnsi" w:hAnsiTheme="minorHAnsi" w:cstheme="minorHAnsi"/>
              </w:rPr>
              <w:t>quantification</w:t>
            </w:r>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données</w:t>
            </w:r>
            <w:r>
              <w:rPr>
                <w:rFonts w:asciiTheme="minorHAnsi" w:hAnsiTheme="minorHAnsi" w:cstheme="minorHAnsi"/>
                <w:spacing w:val="-5"/>
              </w:rPr>
              <w:t xml:space="preserve"> </w:t>
            </w:r>
            <w:r>
              <w:rPr>
                <w:rFonts w:asciiTheme="minorHAnsi" w:hAnsiTheme="minorHAnsi" w:cstheme="minorHAnsi"/>
              </w:rPr>
              <w:t>si</w:t>
            </w:r>
            <w:r>
              <w:rPr>
                <w:rFonts w:asciiTheme="minorHAnsi" w:hAnsiTheme="minorHAnsi" w:cstheme="minorHAnsi"/>
                <w:spacing w:val="-5"/>
              </w:rPr>
              <w:t xml:space="preserve"> </w:t>
            </w:r>
            <w:r>
              <w:rPr>
                <w:rFonts w:asciiTheme="minorHAnsi" w:hAnsiTheme="minorHAnsi" w:cstheme="minorHAnsi"/>
                <w:spacing w:val="-2"/>
              </w:rPr>
              <w:t>possible.</w:t>
            </w:r>
          </w:p>
          <w:p w14:paraId="6B797365" w14:textId="77777777" w:rsidR="00923590" w:rsidRDefault="00000000">
            <w:pPr>
              <w:pStyle w:val="TableParagraph"/>
              <w:numPr>
                <w:ilvl w:val="0"/>
                <w:numId w:val="8"/>
              </w:numPr>
              <w:tabs>
                <w:tab w:val="left" w:pos="805"/>
              </w:tabs>
              <w:spacing w:line="260" w:lineRule="exact"/>
              <w:jc w:val="both"/>
              <w:rPr>
                <w:rFonts w:asciiTheme="minorHAnsi" w:hAnsiTheme="minorHAnsi" w:cstheme="minorHAnsi"/>
              </w:rPr>
            </w:pPr>
            <w:r>
              <w:rPr>
                <w:rFonts w:asciiTheme="minorHAnsi" w:hAnsiTheme="minorHAnsi" w:cstheme="minorHAnsi"/>
              </w:rPr>
              <w:t>vocabulaire</w:t>
            </w:r>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2D4CD417" w14:textId="77777777" w:rsidR="00923590" w:rsidRDefault="00000000">
            <w:pPr>
              <w:pStyle w:val="TableParagraph"/>
              <w:numPr>
                <w:ilvl w:val="0"/>
                <w:numId w:val="8"/>
              </w:numPr>
              <w:tabs>
                <w:tab w:val="left" w:pos="805"/>
              </w:tabs>
              <w:spacing w:line="260" w:lineRule="exact"/>
              <w:jc w:val="both"/>
              <w:rPr>
                <w:rFonts w:asciiTheme="minorHAnsi" w:hAnsiTheme="minorHAnsi" w:cstheme="minorHAnsi"/>
              </w:rPr>
            </w:pPr>
            <w:r>
              <w:rPr>
                <w:rFonts w:asciiTheme="minorHAnsi" w:hAnsiTheme="minorHAnsi" w:cstheme="minorHAnsi"/>
                <w:b/>
              </w:rPr>
              <w:t>sans</w:t>
            </w:r>
            <w:r>
              <w:rPr>
                <w:rFonts w:asciiTheme="minorHAnsi" w:hAnsiTheme="minorHAnsi" w:cstheme="minorHAnsi"/>
                <w:b/>
                <w:spacing w:val="-5"/>
              </w:rPr>
              <w:t xml:space="preserve"> </w:t>
            </w:r>
            <w:r>
              <w:rPr>
                <w:rFonts w:asciiTheme="minorHAnsi" w:hAnsiTheme="minorHAnsi" w:cstheme="minorHAnsi"/>
                <w:b/>
              </w:rPr>
              <w:t>déformation</w:t>
            </w:r>
            <w:r>
              <w:rPr>
                <w:rFonts w:asciiTheme="minorHAnsi" w:hAnsiTheme="minorHAnsi" w:cstheme="minorHAnsi"/>
                <w:b/>
                <w:spacing w:val="-3"/>
              </w:rPr>
              <w:t xml:space="preserve"> </w:t>
            </w:r>
            <w:r>
              <w:rPr>
                <w:rFonts w:asciiTheme="minorHAnsi" w:hAnsiTheme="minorHAnsi" w:cstheme="minorHAnsi"/>
                <w:b/>
              </w:rPr>
              <w:t>ni</w:t>
            </w:r>
            <w:r>
              <w:rPr>
                <w:rFonts w:asciiTheme="minorHAnsi" w:hAnsiTheme="minorHAnsi" w:cstheme="minorHAnsi"/>
                <w:b/>
                <w:spacing w:val="-4"/>
              </w:rPr>
              <w:t xml:space="preserve"> </w:t>
            </w:r>
            <w:r>
              <w:rPr>
                <w:rFonts w:asciiTheme="minorHAnsi" w:hAnsiTheme="minorHAnsi" w:cstheme="minorHAnsi"/>
                <w:b/>
              </w:rPr>
              <w:t>erreur</w:t>
            </w:r>
            <w:r>
              <w:rPr>
                <w:rFonts w:asciiTheme="minorHAnsi" w:hAnsiTheme="minorHAnsi" w:cstheme="minorHAnsi"/>
                <w:b/>
                <w:spacing w:val="-2"/>
              </w:rPr>
              <w:t>.</w:t>
            </w:r>
          </w:p>
        </w:tc>
        <w:tc>
          <w:tcPr>
            <w:tcW w:w="1503" w:type="dxa"/>
            <w:tcBorders>
              <w:top w:val="single" w:sz="4" w:space="0" w:color="auto"/>
              <w:left w:val="single" w:sz="4" w:space="0" w:color="auto"/>
              <w:bottom w:val="single" w:sz="4" w:space="0" w:color="auto"/>
              <w:right w:val="single" w:sz="4" w:space="0" w:color="auto"/>
            </w:tcBorders>
          </w:tcPr>
          <w:p w14:paraId="77714D7E" w14:textId="77777777" w:rsidR="00923590" w:rsidRDefault="00923590">
            <w:pPr>
              <w:jc w:val="both"/>
              <w:rPr>
                <w:rFonts w:cstheme="minorHAnsi"/>
              </w:rPr>
            </w:pPr>
          </w:p>
        </w:tc>
      </w:tr>
      <w:tr w:rsidR="00923590" w14:paraId="345B2312"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3688A38" w14:textId="77777777" w:rsidR="00923590" w:rsidRDefault="00000000">
            <w:pPr>
              <w:pStyle w:val="TableParagraph"/>
              <w:spacing w:line="240" w:lineRule="exact"/>
              <w:ind w:left="85"/>
              <w:jc w:val="both"/>
              <w:rPr>
                <w:rFonts w:asciiTheme="minorHAnsi" w:hAnsiTheme="minorHAnsi" w:cstheme="minorHAnsi"/>
              </w:rPr>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cstheme="minorHAnsi"/>
              </w:rPr>
              <w:t xml:space="preserve"> je</w:t>
            </w:r>
            <w:r>
              <w:rPr>
                <w:rFonts w:asciiTheme="minorHAnsi" w:hAnsiTheme="minorHAnsi" w:cstheme="minorHAnsi"/>
                <w:spacing w:val="-6"/>
              </w:rPr>
              <w:t xml:space="preserve"> </w:t>
            </w:r>
            <w:r>
              <w:rPr>
                <w:rFonts w:asciiTheme="minorHAnsi" w:hAnsiTheme="minorHAnsi" w:cstheme="minorHAnsi"/>
              </w:rPr>
              <w:t>maitrise</w:t>
            </w:r>
            <w:r>
              <w:rPr>
                <w:rFonts w:asciiTheme="minorHAnsi" w:hAnsiTheme="minorHAnsi" w:cstheme="minorHAnsi"/>
                <w:spacing w:val="-5"/>
              </w:rPr>
              <w:t xml:space="preserve"> </w:t>
            </w:r>
            <w:r>
              <w:rPr>
                <w:rFonts w:asciiTheme="minorHAnsi" w:hAnsiTheme="minorHAnsi" w:cstheme="minorHAnsi"/>
              </w:rPr>
              <w:t>la</w:t>
            </w:r>
            <w:r>
              <w:rPr>
                <w:rFonts w:asciiTheme="minorHAnsi" w:hAnsiTheme="minorHAnsi" w:cstheme="minorHAnsi"/>
                <w:spacing w:val="-7"/>
              </w:rPr>
              <w:t xml:space="preserve"> </w:t>
            </w:r>
            <w:r>
              <w:rPr>
                <w:rFonts w:asciiTheme="minorHAnsi" w:hAnsiTheme="minorHAnsi" w:cstheme="minorHAnsi"/>
                <w:b/>
              </w:rPr>
              <w:t>langue</w:t>
            </w:r>
            <w:r>
              <w:rPr>
                <w:rFonts w:asciiTheme="minorHAnsi" w:hAnsiTheme="minorHAnsi" w:cstheme="minorHAnsi"/>
                <w:b/>
                <w:spacing w:val="-6"/>
              </w:rPr>
              <w:t xml:space="preserve"> </w:t>
            </w:r>
            <w:r>
              <w:rPr>
                <w:rFonts w:asciiTheme="minorHAnsi" w:hAnsiTheme="minorHAnsi" w:cstheme="minorHAnsi"/>
                <w:b/>
              </w:rPr>
              <w:t>française</w:t>
            </w:r>
            <w:r>
              <w:rPr>
                <w:rFonts w:asciiTheme="minorHAnsi" w:hAnsiTheme="minorHAnsi" w:cstheme="minorHAnsi"/>
                <w:b/>
                <w:spacing w:val="-4"/>
              </w:rPr>
              <w:t xml:space="preserve"> </w:t>
            </w:r>
            <w:r>
              <w:rPr>
                <w:rFonts w:asciiTheme="minorHAnsi" w:hAnsiTheme="minorHAnsi" w:cstheme="minorHAnsi"/>
              </w:rPr>
              <w:t>(orthographe,</w:t>
            </w:r>
            <w:r>
              <w:rPr>
                <w:rFonts w:asciiTheme="minorHAnsi" w:hAnsiTheme="minorHAnsi" w:cstheme="minorHAnsi"/>
                <w:spacing w:val="-6"/>
              </w:rPr>
              <w:t xml:space="preserve"> </w:t>
            </w:r>
            <w:r>
              <w:rPr>
                <w:rFonts w:asciiTheme="minorHAnsi" w:hAnsiTheme="minorHAnsi" w:cstheme="minorHAnsi"/>
              </w:rPr>
              <w:t>syntaxe,</w:t>
            </w:r>
            <w:r>
              <w:rPr>
                <w:rFonts w:asciiTheme="minorHAnsi" w:hAnsiTheme="minorHAnsi" w:cstheme="minorHAnsi"/>
                <w:spacing w:val="-5"/>
              </w:rPr>
              <w:t xml:space="preserve"> </w:t>
            </w:r>
            <w:r>
              <w:rPr>
                <w:rFonts w:asciiTheme="minorHAnsi" w:hAnsiTheme="minorHAnsi" w:cstheme="minorHAnsi"/>
                <w:spacing w:val="-2"/>
              </w:rPr>
              <w:t>grammaire).</w:t>
            </w:r>
          </w:p>
          <w:p w14:paraId="2C8B5505" w14:textId="77777777" w:rsidR="00923590" w:rsidRDefault="00923590">
            <w:pPr>
              <w:spacing w:after="0"/>
              <w:jc w:val="both"/>
              <w:rPr>
                <w:rFonts w:cstheme="minorHAnsi"/>
              </w:rPr>
            </w:pPr>
          </w:p>
        </w:tc>
        <w:tc>
          <w:tcPr>
            <w:tcW w:w="1503" w:type="dxa"/>
            <w:tcBorders>
              <w:top w:val="single" w:sz="4" w:space="0" w:color="auto"/>
              <w:left w:val="single" w:sz="4" w:space="0" w:color="auto"/>
              <w:bottom w:val="single" w:sz="4" w:space="0" w:color="auto"/>
              <w:right w:val="single" w:sz="4" w:space="0" w:color="auto"/>
            </w:tcBorders>
          </w:tcPr>
          <w:p w14:paraId="78497003" w14:textId="77777777" w:rsidR="00923590" w:rsidRDefault="00923590">
            <w:pPr>
              <w:jc w:val="both"/>
              <w:rPr>
                <w:rFonts w:cstheme="minorHAnsi"/>
              </w:rPr>
            </w:pPr>
          </w:p>
        </w:tc>
      </w:tr>
    </w:tbl>
    <w:p w14:paraId="275D264F" w14:textId="77777777" w:rsidR="00923590" w:rsidRDefault="00923590">
      <w:pPr>
        <w:jc w:val="both"/>
        <w:rPr>
          <w:rFonts w:cstheme="minorHAnsi"/>
          <w:b/>
          <w:color w:val="00B0F0"/>
        </w:rPr>
      </w:pPr>
    </w:p>
    <w:p w14:paraId="3B936417" w14:textId="77777777" w:rsidR="00923590" w:rsidRDefault="00000000">
      <w:pPr>
        <w:jc w:val="both"/>
        <w:rPr>
          <w:rFonts w:cstheme="minorHAnsi"/>
          <w:b/>
          <w:color w:val="00B0F0"/>
        </w:rPr>
      </w:pPr>
      <w:r>
        <w:rPr>
          <w:rFonts w:cstheme="minorHAnsi"/>
          <w:b/>
          <w:color w:val="00B0F0"/>
        </w:rPr>
        <w:t>Activités complémentaires possibles :</w:t>
      </w:r>
    </w:p>
    <w:p w14:paraId="20739375" w14:textId="77777777" w:rsidR="00923590" w:rsidRDefault="00000000">
      <w:pPr>
        <w:jc w:val="both"/>
        <w:rPr>
          <w:rFonts w:cstheme="minorHAnsi"/>
          <w:color w:val="000000" w:themeColor="text1"/>
        </w:rPr>
      </w:pPr>
      <w:r>
        <w:rPr>
          <w:rFonts w:cstheme="minorHAnsi"/>
          <w:color w:val="000000" w:themeColor="text1"/>
        </w:rPr>
        <w:t>Mise en œuvre de la suite de la démarche via eduanat2.</w:t>
      </w:r>
    </w:p>
    <w:p w14:paraId="0CECC5D3" w14:textId="77777777" w:rsidR="00923590" w:rsidRDefault="00000000">
      <w:pPr>
        <w:jc w:val="both"/>
        <w:rPr>
          <w:rFonts w:cstheme="minorHAnsi"/>
          <w:color w:val="FF0000"/>
        </w:rPr>
      </w:pPr>
      <w:r>
        <w:rPr>
          <w:rFonts w:cstheme="minorHAnsi"/>
          <w:b/>
          <w:color w:val="00B0F0"/>
        </w:rPr>
        <w:t>ANNEXES </w:t>
      </w:r>
      <w:r>
        <w:rPr>
          <w:rFonts w:cstheme="minorHAnsi"/>
        </w:rPr>
        <w:t xml:space="preserve">: </w:t>
      </w:r>
    </w:p>
    <w:p w14:paraId="726DECB7" w14:textId="77777777" w:rsidR="00923590" w:rsidRDefault="00000000">
      <w:pPr>
        <w:spacing w:after="0" w:line="240" w:lineRule="auto"/>
        <w:contextualSpacing/>
        <w:jc w:val="both"/>
        <w:rPr>
          <w:rFonts w:cstheme="minorHAnsi"/>
        </w:rPr>
      </w:pPr>
      <w:r>
        <w:rPr>
          <w:rFonts w:cstheme="minorHAnsi"/>
          <w:b/>
          <w:bCs/>
        </w:rPr>
        <w:t>Matériel :</w:t>
      </w:r>
      <w:r>
        <w:rPr>
          <w:rFonts w:cstheme="minorHAnsi"/>
        </w:rPr>
        <w:br/>
        <w:t>Logiciel Eduanat2 : </w:t>
      </w:r>
    </w:p>
    <w:p w14:paraId="7E1F2A1A" w14:textId="77777777" w:rsidR="00923590" w:rsidRDefault="00000000">
      <w:pPr>
        <w:spacing w:after="0" w:line="240" w:lineRule="auto"/>
        <w:jc w:val="both"/>
        <w:rPr>
          <w:rFonts w:cstheme="minorHAnsi"/>
        </w:rPr>
      </w:pPr>
      <w:hyperlink r:id="rId18" w:tooltip="http://acces.ens-lyon.fr/acces/thematiques/neurosciences/outils-numeriques/eduanat2-et-anapeda%20;" w:history="1">
        <w:r>
          <w:rPr>
            <w:rStyle w:val="Lienhypertexte"/>
            <w:rFonts w:cstheme="minorHAnsi"/>
          </w:rPr>
          <w:t>http://acces.ens-lyon.fr/acces/thematiques/neurosciences/outils-numeriques/eduanat2-et-anapeda ;</w:t>
        </w:r>
      </w:hyperlink>
    </w:p>
    <w:p w14:paraId="0C9F30F1" w14:textId="77777777" w:rsidR="00923590" w:rsidRDefault="00000000">
      <w:pPr>
        <w:numPr>
          <w:ilvl w:val="0"/>
          <w:numId w:val="9"/>
        </w:numPr>
        <w:spacing w:after="0" w:line="240" w:lineRule="auto"/>
        <w:jc w:val="both"/>
        <w:rPr>
          <w:rFonts w:cstheme="minorHAnsi"/>
        </w:rPr>
      </w:pPr>
      <w:r>
        <w:rPr>
          <w:rFonts w:cstheme="minorHAnsi"/>
        </w:rPr>
        <w:t>Fiche technique type ECE ;</w:t>
      </w:r>
    </w:p>
    <w:p w14:paraId="52254D04" w14:textId="77777777" w:rsidR="00923590" w:rsidRDefault="00000000">
      <w:pPr>
        <w:numPr>
          <w:ilvl w:val="0"/>
          <w:numId w:val="9"/>
        </w:numPr>
        <w:spacing w:after="0" w:line="240" w:lineRule="auto"/>
        <w:jc w:val="both"/>
        <w:rPr>
          <w:rFonts w:cstheme="minorHAnsi"/>
        </w:rPr>
      </w:pPr>
      <w:r>
        <w:rPr>
          <w:rFonts w:cstheme="minorHAnsi"/>
        </w:rPr>
        <w:t>La fiche technique du logiciel EduAnat2 : cas d'une IRM fonctionnelle (= calque fonctionnel) </w:t>
      </w:r>
    </w:p>
    <w:p w14:paraId="7C086685" w14:textId="77777777" w:rsidR="00923590" w:rsidRDefault="00000000">
      <w:pPr>
        <w:spacing w:after="0" w:line="240" w:lineRule="auto"/>
        <w:jc w:val="both"/>
        <w:rPr>
          <w:rFonts w:cstheme="minorHAnsi"/>
        </w:rPr>
      </w:pPr>
      <w:hyperlink r:id="rId19" w:tooltip="http://acces.ens-lyon.fr/acces/thematiques/neurosciences/fichiers-1/fiche-technique2.jpg/" w:history="1">
        <w:r>
          <w:rPr>
            <w:rStyle w:val="Lienhypertexte"/>
            <w:rFonts w:cstheme="minorHAnsi"/>
          </w:rPr>
          <w:t>http://acces.ens-lyon.fr/acces/thematiques/neurosciences/fichiers-1/fiche-technique2.jpg/</w:t>
        </w:r>
      </w:hyperlink>
    </w:p>
    <w:p w14:paraId="6951F4E0" w14:textId="77777777" w:rsidR="00923590" w:rsidRDefault="00000000">
      <w:pPr>
        <w:numPr>
          <w:ilvl w:val="0"/>
          <w:numId w:val="9"/>
        </w:numPr>
        <w:spacing w:after="0" w:line="240" w:lineRule="auto"/>
        <w:jc w:val="both"/>
        <w:rPr>
          <w:rFonts w:cstheme="minorHAnsi"/>
        </w:rPr>
      </w:pPr>
      <w:r>
        <w:rPr>
          <w:rFonts w:cstheme="minorHAnsi"/>
        </w:rPr>
        <w:t>Fichiers de la banque AnaPeda : </w:t>
      </w:r>
    </w:p>
    <w:p w14:paraId="082C1942" w14:textId="77777777" w:rsidR="00923590" w:rsidRDefault="00000000">
      <w:pPr>
        <w:spacing w:after="0" w:line="240" w:lineRule="auto"/>
        <w:jc w:val="both"/>
        <w:rPr>
          <w:rFonts w:cstheme="minorHAnsi"/>
        </w:rPr>
      </w:pPr>
      <w:hyperlink r:id="rId20" w:tooltip="http://acces.ens-lyon.fr/acces/thematiques/neurosciences/outils-numeriques/eduanat2-et-anapeda/anapeda-la-banque-dimages-du-logiciel-eduanat2" w:history="1">
        <w:r>
          <w:rPr>
            <w:rStyle w:val="Lienhypertexte"/>
            <w:rFonts w:cstheme="minorHAnsi"/>
          </w:rPr>
          <w:t>http://acces.ens-lyon.fr/acces/thematiques/neurosciences/outils-numeriques/eduanat2-et-anapeda/anapeda-la-banque-dimages-du-logiciel-eduanat2</w:t>
        </w:r>
      </w:hyperlink>
    </w:p>
    <w:p w14:paraId="1ED1B153" w14:textId="77777777" w:rsidR="00923590" w:rsidRDefault="00000000">
      <w:pPr>
        <w:spacing w:after="0" w:line="240" w:lineRule="auto"/>
        <w:jc w:val="both"/>
        <w:rPr>
          <w:rFonts w:cstheme="minorHAnsi"/>
        </w:rPr>
      </w:pPr>
      <w:r>
        <w:rPr>
          <w:rFonts w:cstheme="minorHAnsi"/>
          <w:b/>
          <w:bCs/>
        </w:rPr>
        <w:t>Protocole :</w:t>
      </w:r>
    </w:p>
    <w:p w14:paraId="6D8C8767" w14:textId="77777777" w:rsidR="00923590" w:rsidRDefault="00000000">
      <w:pPr>
        <w:numPr>
          <w:ilvl w:val="0"/>
          <w:numId w:val="10"/>
        </w:numPr>
        <w:spacing w:after="0" w:line="240" w:lineRule="auto"/>
        <w:jc w:val="both"/>
        <w:rPr>
          <w:rFonts w:cstheme="minorHAnsi"/>
        </w:rPr>
      </w:pPr>
      <w:r>
        <w:rPr>
          <w:rFonts w:cstheme="minorHAnsi"/>
        </w:rPr>
        <w:t>Ouvrir le logiciel ;</w:t>
      </w:r>
    </w:p>
    <w:p w14:paraId="43337AD8" w14:textId="77777777" w:rsidR="00923590" w:rsidRDefault="00000000">
      <w:pPr>
        <w:numPr>
          <w:ilvl w:val="0"/>
          <w:numId w:val="10"/>
        </w:numPr>
        <w:spacing w:after="0" w:line="240" w:lineRule="auto"/>
        <w:jc w:val="both"/>
        <w:rPr>
          <w:rFonts w:cstheme="minorHAnsi"/>
        </w:rPr>
      </w:pPr>
      <w:r>
        <w:rPr>
          <w:rFonts w:cstheme="minorHAnsi"/>
        </w:rPr>
        <w:t>Cliquer sur « ouvrir une image anatomique » ;</w:t>
      </w:r>
    </w:p>
    <w:p w14:paraId="28FC9732" w14:textId="77777777" w:rsidR="00923590" w:rsidRDefault="00000000">
      <w:pPr>
        <w:numPr>
          <w:ilvl w:val="0"/>
          <w:numId w:val="10"/>
        </w:numPr>
        <w:spacing w:after="0" w:line="240" w:lineRule="auto"/>
        <w:jc w:val="both"/>
        <w:rPr>
          <w:rFonts w:cstheme="minorHAnsi"/>
        </w:rPr>
      </w:pPr>
      <w:r>
        <w:rPr>
          <w:rFonts w:cstheme="minorHAnsi"/>
        </w:rPr>
        <w:t>Rechercher le fichier de l'IRM anatomique puis cliquer sur « ouvrir » ;</w:t>
      </w:r>
    </w:p>
    <w:p w14:paraId="7D413420" w14:textId="77777777" w:rsidR="00923590" w:rsidRDefault="00000000">
      <w:pPr>
        <w:numPr>
          <w:ilvl w:val="0"/>
          <w:numId w:val="10"/>
        </w:numPr>
        <w:spacing w:after="0" w:line="240" w:lineRule="auto"/>
        <w:jc w:val="both"/>
        <w:rPr>
          <w:rFonts w:cstheme="minorHAnsi"/>
        </w:rPr>
      </w:pPr>
      <w:r>
        <w:rPr>
          <w:rFonts w:cstheme="minorHAnsi"/>
        </w:rPr>
        <w:t>Cliquer sur « ouvrir un calque fonctionnel » ;</w:t>
      </w:r>
    </w:p>
    <w:p w14:paraId="49799D18" w14:textId="77777777" w:rsidR="00923590" w:rsidRDefault="00000000">
      <w:pPr>
        <w:numPr>
          <w:ilvl w:val="0"/>
          <w:numId w:val="10"/>
        </w:numPr>
        <w:spacing w:after="0" w:line="240" w:lineRule="auto"/>
        <w:jc w:val="both"/>
        <w:rPr>
          <w:rFonts w:cstheme="minorHAnsi"/>
        </w:rPr>
      </w:pPr>
      <w:r>
        <w:rPr>
          <w:rFonts w:cstheme="minorHAnsi"/>
        </w:rPr>
        <w:t>Rechercher l'IRM fonctionnelle puis cliquer sur « ouvrir » ;</w:t>
      </w:r>
    </w:p>
    <w:p w14:paraId="598C8A18" w14:textId="77777777" w:rsidR="00923590" w:rsidRDefault="00000000">
      <w:pPr>
        <w:numPr>
          <w:ilvl w:val="0"/>
          <w:numId w:val="10"/>
        </w:numPr>
        <w:spacing w:after="0" w:line="240" w:lineRule="auto"/>
        <w:jc w:val="both"/>
        <w:rPr>
          <w:rFonts w:cstheme="minorHAnsi"/>
        </w:rPr>
      </w:pPr>
      <w:r>
        <w:rPr>
          <w:rFonts w:cstheme="minorHAnsi"/>
        </w:rPr>
        <w:t>Régler le seuil du calque à l'aide du curseur sur 36.</w:t>
      </w:r>
    </w:p>
    <w:p w14:paraId="7F9A9587" w14:textId="77777777" w:rsidR="00923590" w:rsidRDefault="00923590">
      <w:pPr>
        <w:jc w:val="both"/>
        <w:rPr>
          <w:rFonts w:cstheme="minorHAnsi"/>
          <w:color w:val="FF0000"/>
        </w:rPr>
      </w:pPr>
    </w:p>
    <w:sectPr w:rsidR="00923590">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AF11" w14:textId="77777777" w:rsidR="004A1A5C" w:rsidRDefault="004A1A5C">
      <w:pPr>
        <w:spacing w:after="0" w:line="240" w:lineRule="auto"/>
      </w:pPr>
      <w:r>
        <w:separator/>
      </w:r>
    </w:p>
  </w:endnote>
  <w:endnote w:type="continuationSeparator" w:id="0">
    <w:p w14:paraId="145B9383" w14:textId="77777777" w:rsidR="004A1A5C" w:rsidRDefault="004A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AE1A" w14:textId="77777777" w:rsidR="004A1A5C" w:rsidRDefault="004A1A5C">
      <w:pPr>
        <w:spacing w:after="0" w:line="240" w:lineRule="auto"/>
      </w:pPr>
      <w:r>
        <w:separator/>
      </w:r>
    </w:p>
  </w:footnote>
  <w:footnote w:type="continuationSeparator" w:id="0">
    <w:p w14:paraId="59E1A017" w14:textId="77777777" w:rsidR="004A1A5C" w:rsidRDefault="004A1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8AC40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5A6C16"/>
    <w:multiLevelType w:val="multilevel"/>
    <w:tmpl w:val="C6E83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BD0166"/>
    <w:multiLevelType w:val="multilevel"/>
    <w:tmpl w:val="BE7E87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87240B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B6788B42"/>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F605AD2"/>
    <w:multiLevelType w:val="multilevel"/>
    <w:tmpl w:val="65246AB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6" w15:restartNumberingAfterBreak="0">
    <w:nsid w:val="628E39D9"/>
    <w:multiLevelType w:val="multilevel"/>
    <w:tmpl w:val="CD62A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7932E75"/>
    <w:multiLevelType w:val="multilevel"/>
    <w:tmpl w:val="D09EB55C"/>
    <w:lvl w:ilvl="0">
      <w:numFmt w:val="bullet"/>
      <w:lvlText w:val=""/>
      <w:lvlJc w:val="left"/>
      <w:pPr>
        <w:ind w:left="76" w:hanging="360"/>
      </w:pPr>
      <w:rPr>
        <w:rFonts w:ascii="Wingdings" w:eastAsiaTheme="minorHAnsi" w:hAnsi="Wingdings" w:cstheme="minorBidi" w:hint="default"/>
      </w:rPr>
    </w:lvl>
    <w:lvl w:ilvl="1">
      <w:start w:val="1"/>
      <w:numFmt w:val="bullet"/>
      <w:lvlText w:val="o"/>
      <w:lvlJc w:val="left"/>
      <w:pPr>
        <w:ind w:left="796" w:hanging="360"/>
      </w:pPr>
      <w:rPr>
        <w:rFonts w:ascii="Courier New" w:hAnsi="Courier New" w:cs="Courier New" w:hint="default"/>
      </w:rPr>
    </w:lvl>
    <w:lvl w:ilvl="2">
      <w:start w:val="1"/>
      <w:numFmt w:val="bullet"/>
      <w:lvlText w:val=""/>
      <w:lvlJc w:val="left"/>
      <w:pPr>
        <w:ind w:left="1516" w:hanging="360"/>
      </w:pPr>
      <w:rPr>
        <w:rFonts w:ascii="Wingdings" w:hAnsi="Wingdings" w:hint="default"/>
      </w:rPr>
    </w:lvl>
    <w:lvl w:ilvl="3">
      <w:start w:val="1"/>
      <w:numFmt w:val="bullet"/>
      <w:lvlText w:val=""/>
      <w:lvlJc w:val="left"/>
      <w:pPr>
        <w:ind w:left="2236" w:hanging="360"/>
      </w:pPr>
      <w:rPr>
        <w:rFonts w:ascii="Symbol" w:hAnsi="Symbol" w:hint="default"/>
      </w:rPr>
    </w:lvl>
    <w:lvl w:ilvl="4">
      <w:start w:val="1"/>
      <w:numFmt w:val="bullet"/>
      <w:lvlText w:val="o"/>
      <w:lvlJc w:val="left"/>
      <w:pPr>
        <w:ind w:left="2956" w:hanging="360"/>
      </w:pPr>
      <w:rPr>
        <w:rFonts w:ascii="Courier New" w:hAnsi="Courier New" w:cs="Courier New" w:hint="default"/>
      </w:rPr>
    </w:lvl>
    <w:lvl w:ilvl="5">
      <w:start w:val="1"/>
      <w:numFmt w:val="bullet"/>
      <w:lvlText w:val=""/>
      <w:lvlJc w:val="left"/>
      <w:pPr>
        <w:ind w:left="3676" w:hanging="360"/>
      </w:pPr>
      <w:rPr>
        <w:rFonts w:ascii="Wingdings" w:hAnsi="Wingdings" w:hint="default"/>
      </w:rPr>
    </w:lvl>
    <w:lvl w:ilvl="6">
      <w:start w:val="1"/>
      <w:numFmt w:val="bullet"/>
      <w:lvlText w:val=""/>
      <w:lvlJc w:val="left"/>
      <w:pPr>
        <w:ind w:left="4396" w:hanging="360"/>
      </w:pPr>
      <w:rPr>
        <w:rFonts w:ascii="Symbol" w:hAnsi="Symbol" w:hint="default"/>
      </w:rPr>
    </w:lvl>
    <w:lvl w:ilvl="7">
      <w:start w:val="1"/>
      <w:numFmt w:val="bullet"/>
      <w:lvlText w:val="o"/>
      <w:lvlJc w:val="left"/>
      <w:pPr>
        <w:ind w:left="5116" w:hanging="360"/>
      </w:pPr>
      <w:rPr>
        <w:rFonts w:ascii="Courier New" w:hAnsi="Courier New" w:cs="Courier New" w:hint="default"/>
      </w:rPr>
    </w:lvl>
    <w:lvl w:ilvl="8">
      <w:start w:val="1"/>
      <w:numFmt w:val="bullet"/>
      <w:lvlText w:val=""/>
      <w:lvlJc w:val="left"/>
      <w:pPr>
        <w:ind w:left="5836" w:hanging="360"/>
      </w:pPr>
      <w:rPr>
        <w:rFonts w:ascii="Wingdings" w:hAnsi="Wingdings" w:hint="default"/>
      </w:rPr>
    </w:lvl>
  </w:abstractNum>
  <w:abstractNum w:abstractNumId="8" w15:restartNumberingAfterBreak="0">
    <w:nsid w:val="7448347E"/>
    <w:multiLevelType w:val="multilevel"/>
    <w:tmpl w:val="210C3E9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9" w15:restartNumberingAfterBreak="0">
    <w:nsid w:val="783F549F"/>
    <w:multiLevelType w:val="multilevel"/>
    <w:tmpl w:val="EA74F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32865795">
    <w:abstractNumId w:val="3"/>
  </w:num>
  <w:num w:numId="2" w16cid:durableId="2098403381">
    <w:abstractNumId w:val="2"/>
  </w:num>
  <w:num w:numId="3" w16cid:durableId="1025404847">
    <w:abstractNumId w:val="6"/>
  </w:num>
  <w:num w:numId="4" w16cid:durableId="1375814014">
    <w:abstractNumId w:val="8"/>
  </w:num>
  <w:num w:numId="5" w16cid:durableId="1604653525">
    <w:abstractNumId w:val="4"/>
  </w:num>
  <w:num w:numId="6" w16cid:durableId="422841372">
    <w:abstractNumId w:val="0"/>
  </w:num>
  <w:num w:numId="7" w16cid:durableId="216429209">
    <w:abstractNumId w:val="7"/>
  </w:num>
  <w:num w:numId="8" w16cid:durableId="1213888094">
    <w:abstractNumId w:val="5"/>
  </w:num>
  <w:num w:numId="9" w16cid:durableId="1288388111">
    <w:abstractNumId w:val="9"/>
  </w:num>
  <w:num w:numId="10" w16cid:durableId="563685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590"/>
    <w:rsid w:val="004A1A5C"/>
    <w:rsid w:val="00923590"/>
    <w:rsid w:val="00933228"/>
    <w:rsid w:val="009D1505"/>
    <w:rsid w:val="00C604D5"/>
    <w:rsid w:val="00D61F50"/>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D851"/>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character" w:styleId="lev">
    <w:name w:val="Strong"/>
    <w:basedOn w:val="Policepardfaut"/>
    <w:uiPriority w:val="22"/>
    <w:qFormat/>
    <w:rPr>
      <w:b/>
      <w:bCs/>
    </w:rPr>
  </w:style>
  <w:style w:type="character" w:styleId="Lienhypertextesuivivisit">
    <w:name w:val="FollowedHyperlink"/>
    <w:basedOn w:val="Policepardfaut"/>
    <w:uiPriority w:val="99"/>
    <w:semiHidden/>
    <w:unhideWhenUsed/>
    <w:rPr>
      <w:color w:val="954F72" w:themeColor="followedHyperlink"/>
      <w:u w:val="single"/>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acces.ens-lyon.fr/acces/thematiques/neurosciences/outils-numeriques/eduanat2-et-anapeda%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hyperlink" Target="http://acces.ens-lyon.fr/acces/thematiques/neurosciences/outils-numeriques/eduanat2-et-anapeda/anapeda-la-banque-dimages-du-logiciel-eduanat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g"/><Relationship Id="rId5" Type="http://schemas.openxmlformats.org/officeDocument/2006/relationships/footnotes" Target="footnotes.xml"/><Relationship Id="rId15" Type="http://schemas.openxmlformats.org/officeDocument/2006/relationships/image" Target="media/image30.png"/><Relationship Id="rId10" Type="http://schemas.openxmlformats.org/officeDocument/2006/relationships/image" Target="media/image2.jpg"/><Relationship Id="rId19" Type="http://schemas.openxmlformats.org/officeDocument/2006/relationships/hyperlink" Target="http://acces.ens-lyon.fr/acces/thematiques/neurosciences/fichiers-1/fiche-technique2.jpg/"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3920</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6</cp:revision>
  <dcterms:created xsi:type="dcterms:W3CDTF">2026-04-03T13:51:00Z</dcterms:created>
  <dcterms:modified xsi:type="dcterms:W3CDTF">2026-07-13T08:00:00Z</dcterms:modified>
</cp:coreProperties>
</file>