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50BCC7C" w14:textId="3FC8E9FC">
      <w:pPr>
        <w:pBdr/>
        <w:spacing/>
        <w:ind/>
        <w:jc w:val="center"/>
        <w:rPr>
          <w:b/>
        </w:rPr>
      </w:pPr>
      <w:r>
        <w:rPr>
          <w:b/>
        </w:rPr>
        <w:t xml:space="preserve">Le métabolisme des cellules végétales</w:t>
      </w:r>
      <w:r>
        <w:rPr>
          <w:b/>
        </w:rPr>
      </w:r>
    </w:p>
    <w:p w14:paraId="0A9EDAED" w14:textId="4A830312">
      <w:pPr>
        <w:pBdr/>
        <w:spacing/>
        <w:ind/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Niveau de classe</w:t>
      </w:r>
      <w:r>
        <w:rPr>
          <w:rFonts w:cstheme="minorHAnsi"/>
          <w:b/>
          <w:color w:val="00b0f0"/>
        </w:rPr>
        <w:t xml:space="preserve"> </w:t>
      </w:r>
      <w:r>
        <w:rPr>
          <w:rFonts w:cstheme="minorHAnsi"/>
        </w:rPr>
        <w:t xml:space="preserve">: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Seconde</w:t>
      </w:r>
      <w:r>
        <w:rPr>
          <w:rFonts w:cstheme="minorHAnsi"/>
        </w:rPr>
      </w:r>
    </w:p>
    <w:p w14:paraId="61AF4E56" w14:textId="77777777">
      <w:pPr>
        <w:pBdr/>
        <w:spacing/>
        <w:ind/>
        <w:jc w:val="both"/>
        <w:rPr>
          <w:rFonts w:cstheme="minorHAnsi"/>
          <w:color w:val="000000" w:themeColor="text1"/>
        </w:rPr>
      </w:pPr>
      <w:r>
        <w:rPr>
          <w:rFonts w:cstheme="minorHAnsi"/>
          <w:b/>
          <w:color w:val="00b0f0"/>
        </w:rPr>
        <w:t xml:space="preserve">Notion du BO travaillée</w:t>
      </w:r>
      <w:r>
        <w:rPr>
          <w:rFonts w:cstheme="minorHAnsi"/>
          <w:color w:val="00b0f0"/>
        </w:rPr>
        <w:t xml:space="preserve"> </w:t>
      </w:r>
      <w:r>
        <w:rPr>
          <w:rFonts w:cstheme="minorHAnsi"/>
        </w:rPr>
        <w:t xml:space="preserve">qui s’inscrit dans</w:t>
      </w:r>
      <w:r>
        <w:rPr>
          <w:rFonts w:cstheme="minorHAnsi"/>
          <w:color w:val="000000" w:themeColor="text1"/>
        </w:rPr>
        <w:t xml:space="preserve"> « </w:t>
      </w:r>
      <w:r>
        <w:rPr>
          <w:rFonts w:cstheme="minorHAnsi"/>
          <w:color w:val="000000" w:themeColor="text1"/>
        </w:rPr>
        <w:t xml:space="preserve">La Terre, la vie et l’organisation du vivant</w:t>
      </w:r>
      <w:r>
        <w:rPr>
          <w:rFonts w:cstheme="minorHAnsi"/>
          <w:color w:val="000000" w:themeColor="text1"/>
        </w:rPr>
        <w:t xml:space="preserve"> </w:t>
      </w:r>
      <w:r>
        <w:rPr>
          <w:rFonts w:cstheme="minorHAnsi"/>
          <w:color w:val="000000" w:themeColor="text1"/>
        </w:rPr>
        <w:t xml:space="preserve">» &gt;&gt; « </w:t>
      </w:r>
      <w:r>
        <w:rPr>
          <w:rFonts w:cstheme="minorHAnsi"/>
          <w:color w:val="000000" w:themeColor="text1"/>
        </w:rPr>
        <w:t xml:space="preserve">Le métabolisme des cellules</w:t>
      </w:r>
      <w:r>
        <w:rPr>
          <w:rFonts w:cstheme="minorHAnsi"/>
          <w:color w:val="000000" w:themeColor="text1"/>
        </w:rPr>
        <w:t xml:space="preserve"> </w:t>
      </w:r>
      <w:r>
        <w:rPr>
          <w:rFonts w:cstheme="minorHAnsi"/>
          <w:color w:val="000000" w:themeColor="text1"/>
        </w:rPr>
        <w:t xml:space="preserve">» :</w:t>
      </w:r>
      <w:r>
        <w:rPr>
          <w:rFonts w:cstheme="minorHAnsi"/>
          <w:color w:val="000000" w:themeColor="text1"/>
        </w:rPr>
      </w:r>
    </w:p>
    <w:p w14:paraId="0F48B674" w14:textId="67206AD5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Le métabolisme des cellules. Pou</w:t>
      </w:r>
      <w:r>
        <w:rPr>
          <w:rFonts w:cstheme="minorHAnsi"/>
        </w:rPr>
        <w:t xml:space="preserve">r assurer les besoins fonctionnels d’une cellule, de nombreuses transformations biochimiques s’y déroulent : elles constituent son métabolisme. Le métabolisme dépend de l’équipement spécialisé de chaque cellule (organites, macromolécules dont les enzymes).</w:t>
      </w:r>
      <w:r>
        <w:rPr>
          <w:rFonts w:cstheme="minorHAnsi"/>
        </w:rPr>
      </w:r>
    </w:p>
    <w:p w14:paraId="738C4BD1" w14:textId="22CC6C3B">
      <w:pPr>
        <w:pBdr/>
        <w:spacing/>
        <w:ind/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Compétence travaillée dans l’activité</w:t>
      </w:r>
      <w:r>
        <w:rPr>
          <w:rFonts w:cstheme="minorHAnsi"/>
          <w:color w:val="00b0f0"/>
        </w:rPr>
        <w:t xml:space="preserve"> </w:t>
      </w:r>
      <w:r>
        <w:rPr>
          <w:rFonts w:cstheme="minorHAnsi"/>
        </w:rPr>
        <w:t xml:space="preserve">: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Analyser un problème, concevoir une stratégie de résolution et en prévoir les résultats.</w:t>
      </w:r>
      <w:r>
        <w:rPr>
          <w:rFonts w:cstheme="minorHAnsi"/>
        </w:rPr>
      </w:r>
    </w:p>
    <w:p w14:paraId="68457C4C" w14:textId="404D2B65">
      <w:pPr>
        <w:pBdr/>
        <w:spacing/>
        <w:ind/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Contexte de l’activité</w:t>
      </w:r>
      <w:r>
        <w:rPr>
          <w:rFonts w:cstheme="minorHAnsi"/>
          <w:color w:val="00b0f0"/>
        </w:rPr>
        <w:t xml:space="preserve"> </w:t>
      </w:r>
      <w:r>
        <w:rPr>
          <w:rFonts w:cstheme="minorHAnsi"/>
        </w:rPr>
        <w:t xml:space="preserve">: Cette activité peut </w:t>
      </w:r>
      <w:r>
        <w:rPr>
          <w:rFonts w:cstheme="minorHAnsi"/>
        </w:rPr>
        <w:t xml:space="preserve">s’intégrer à une séquence pour </w:t>
      </w:r>
      <w:r>
        <w:rPr>
          <w:rFonts w:cstheme="minorHAnsi"/>
        </w:rPr>
        <w:t xml:space="preserve">co</w:t>
      </w:r>
      <w:r>
        <w:rPr>
          <w:rFonts w:cstheme="minorHAnsi"/>
        </w:rPr>
        <w:t xml:space="preserve">-construire</w:t>
      </w:r>
      <w:r>
        <w:rPr>
          <w:rFonts w:cstheme="minorHAnsi"/>
        </w:rPr>
        <w:t xml:space="preserve"> les notions visées.</w:t>
      </w:r>
      <w:r>
        <w:rPr>
          <w:rFonts w:cstheme="minorHAnsi"/>
        </w:rPr>
      </w:r>
    </w:p>
    <w:p w14:paraId="3CC3BF0D" w14:textId="26EFEBB4">
      <w:pPr>
        <w:pBdr/>
        <w:spacing/>
        <w:ind/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Contenu de l’activité</w:t>
      </w:r>
      <w:r>
        <w:rPr>
          <w:rFonts w:cstheme="minorHAnsi"/>
          <w:b/>
          <w:color w:val="00b0f0"/>
        </w:rPr>
        <w:t xml:space="preserve"> </w:t>
      </w:r>
      <w:r>
        <w:rPr>
          <w:rFonts w:cstheme="minorHAnsi"/>
        </w:rPr>
        <w:t xml:space="preserve">:</w:t>
      </w:r>
      <w:r>
        <w:rPr>
          <w:rFonts w:cstheme="minorHAnsi"/>
        </w:rPr>
      </w:r>
    </w:p>
    <w:p w14:paraId="5D323021" w14:textId="78A1B8F6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Les organismes chlorophylliens ont besoin, pour leur croissance, de réaliser la photosynthèse. Celle-ci nécessite des échanges gazeux.</w:t>
      </w:r>
      <w:r>
        <w:rPr>
          <w:rFonts w:cstheme="minorHAnsi"/>
        </w:rPr>
      </w:r>
    </w:p>
    <w:p w14:paraId="08734D79" w14:textId="4FDB36AD">
      <w:pPr>
        <w:pBdr/>
        <w:spacing/>
        <w:ind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cstheme="minorHAnsi"/>
          <w:u w:val="single"/>
        </w:rPr>
        <w:t xml:space="preserve">Consigne</w:t>
      </w:r>
      <w:r>
        <w:rPr>
          <w:rFonts w:cstheme="minorHAnsi"/>
        </w:rPr>
        <w:t xml:space="preserve"> : </w:t>
      </w:r>
      <w:r>
        <w:rPr>
          <w:rFonts w:cstheme="minorHAnsi"/>
          <w:color w:val="000000" w:themeColor="text1"/>
        </w:rPr>
        <w:t xml:space="preserve">À l’aide des documents, </w:t>
      </w:r>
      <w:r>
        <w:rPr>
          <w:rFonts w:cstheme="minorHAnsi"/>
          <w:b/>
          <w:bCs/>
          <w:color w:val="000000" w:themeColor="text1"/>
        </w:rPr>
        <w:t xml:space="preserve">proposer une stratégie de résolution</w:t>
      </w:r>
      <w:r>
        <w:rPr>
          <w:rFonts w:cstheme="minorHAnsi"/>
          <w:color w:val="000000" w:themeColor="text1"/>
        </w:rPr>
        <w:t xml:space="preserve"> permettant d’identifier la nature et les conditions des échange</w:t>
      </w:r>
      <w:r>
        <w:rPr>
          <w:rFonts w:cstheme="minorHAnsi"/>
        </w:rPr>
        <w:t xml:space="preserve">s </w:t>
      </w:r>
      <w:r>
        <w:rPr>
          <w:rFonts w:cstheme="minorHAnsi"/>
        </w:rPr>
        <w:t xml:space="preserve">gazeux </w:t>
      </w:r>
      <w:r>
        <w:rPr>
          <w:rFonts w:cstheme="minorHAnsi"/>
          <w:color w:val="000000" w:themeColor="text1"/>
        </w:rPr>
        <w:t xml:space="preserve">réalisés par </w:t>
      </w:r>
      <w:r>
        <w:rPr>
          <w:rFonts w:cstheme="minorHAnsi"/>
        </w:rPr>
        <w:t xml:space="preserve">les organismes chlorophylliens</w:t>
      </w:r>
      <w:r>
        <w:rPr>
          <w:rFonts w:cstheme="minorHAnsi"/>
          <w:color w:val="000000" w:themeColor="text1"/>
        </w:rPr>
        <w:t xml:space="preserve">.</w:t>
      </w:r>
      <w:r>
        <w:rPr>
          <w:rFonts w:ascii="Arial" w:hAnsi="Arial" w:cs="Arial"/>
          <w:color w:val="000000" w:themeColor="text1"/>
          <w:sz w:val="24"/>
          <w:szCs w:val="24"/>
        </w:rPr>
      </w:r>
    </w:p>
    <w:p w14:paraId="25B01DD2" w14:textId="3C094670">
      <w:pPr>
        <w:pBdr/>
        <w:spacing/>
        <w:ind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Document 1</w:t>
      </w:r>
      <w:r>
        <w:rPr>
          <w:rFonts w:cstheme="minorHAnsi"/>
        </w:rPr>
        <w:t xml:space="preserve"> : </w:t>
      </w:r>
      <w:r>
        <w:rPr>
          <w:rFonts w:cstheme="minorHAnsi"/>
        </w:rPr>
        <w:t xml:space="preserve">Rôle d’un dispositif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ExaO</w:t>
      </w:r>
      <w:r>
        <w:rPr>
          <w:rFonts w:cstheme="minorHAnsi"/>
        </w:rPr>
        <w:t xml:space="preserve"> (Expérience assistée par Ordinateur)</w:t>
      </w:r>
      <w:r>
        <w:rPr>
          <w:rFonts w:cstheme="minorHAnsi"/>
          <w:u w:val="single"/>
        </w:rPr>
      </w:r>
    </w:p>
    <w:p w14:paraId="7074D9C7" w14:textId="1A28C64B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4692650</wp:posOffset>
                </wp:positionH>
                <wp:positionV relativeFrom="paragraph">
                  <wp:posOffset>376555</wp:posOffset>
                </wp:positionV>
                <wp:extent cx="666750" cy="279400"/>
                <wp:effectExtent l="0" t="0" r="19050" b="25400"/>
                <wp:wrapNone/>
                <wp:docPr id="1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6675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9C006F" w14:textId="199764C7"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Sonde</w:t>
                            </w:r>
                            <w:r>
                              <w:t xml:space="preserve">s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78720;o:allowoverlap:true;o:allowincell:true;mso-position-horizontal-relative:text;margin-left:369.50pt;mso-position-horizontal:absolute;mso-position-vertical-relative:text;margin-top:29.65pt;mso-position-vertical:absolute;width:52.50pt;height:22.0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289C006F" w14:textId="199764C7">
                      <w:pPr>
                        <w:pBdr/>
                        <w:spacing/>
                        <w:ind/>
                        <w:rPr/>
                      </w:pPr>
                      <w:r>
                        <w:t xml:space="preserve">Sonde</w:t>
                      </w:r>
                      <w:r>
                        <w:t xml:space="preserve">s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14:ligatures w14:val="standardContextual"/>
        </w:rPr>
        <w:t xml:space="preserve">Un</w:t>
      </w:r>
      <w:r>
        <w:rPr>
          <w:rFonts w:cstheme="minorHAnsi"/>
          <w14:ligatures w14:val="standardContextual"/>
        </w:rPr>
        <w:t xml:space="preserve"> dispositif ExaO</w:t>
      </w:r>
      <w:r>
        <w:rPr>
          <w:rFonts w:cstheme="minorHAnsi"/>
        </w:rPr>
        <w:t xml:space="preserve"> est composé </w:t>
      </w:r>
      <w:r>
        <w:rPr>
          <w:rFonts w:cstheme="minorHAnsi"/>
        </w:rPr>
        <w:t xml:space="preserve">d’un ordinateur et de sondes connectées via une interface. Il existe de nombreux types </w:t>
      </w:r>
      <w:r>
        <w:rPr>
          <w:rFonts w:cstheme="minorHAnsi"/>
        </w:rPr>
        <w:t xml:space="preserve">de sondes</w:t>
      </w:r>
      <w:r>
        <w:rPr>
          <w:rFonts w:cstheme="minorHAnsi"/>
        </w:rPr>
        <w:t xml:space="preserve"> parmi lesquelles</w:t>
      </w:r>
      <w:r>
        <w:rPr>
          <w:rFonts w:cstheme="minorHAnsi"/>
        </w:rPr>
        <w:t xml:space="preserve"> </w:t>
      </w:r>
      <w:r>
        <w:rPr>
          <w:rFonts w:cstheme="minorHAnsi"/>
        </w:rPr>
        <w:t xml:space="preserve">: </w:t>
      </w:r>
      <w:r>
        <w:rPr>
          <w:rFonts w:cstheme="minorHAnsi"/>
        </w:rPr>
      </w:r>
    </w:p>
    <w:p w14:paraId="4DD394FD" w14:textId="16A8FB59">
      <w:pPr>
        <w:pStyle w:val="684"/>
        <w:numPr>
          <w:ilvl w:val="0"/>
          <w:numId w:val="8"/>
        </w:numPr>
        <w:pBdr/>
        <w:spacing w:after="0" w:line="240" w:lineRule="auto"/>
        <w:ind/>
        <w:jc w:val="both"/>
        <w:rPr>
          <w:rFonts w:cstheme="minorHAnsi"/>
        </w:rPr>
      </w:pPr>
      <w:r>
        <w:rPr>
          <w:rFonts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5765800</wp:posOffset>
                </wp:positionH>
                <wp:positionV relativeFrom="paragraph">
                  <wp:posOffset>8255</wp:posOffset>
                </wp:positionV>
                <wp:extent cx="711200" cy="279400"/>
                <wp:effectExtent l="0" t="0" r="12700" b="25400"/>
                <wp:wrapNone/>
                <wp:docPr id="2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112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A8B1C5" w14:textId="02BBA0C2"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Interface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80768;o:allowoverlap:true;o:allowincell:true;mso-position-horizontal-relative:text;margin-left:454.00pt;mso-position-horizontal:absolute;mso-position-vertical-relative:text;margin-top:0.65pt;mso-position-vertical:absolute;width:56.00pt;height:22.0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3CA8B1C5" w14:textId="02BBA0C2">
                      <w:pPr>
                        <w:pBdr/>
                        <w:spacing/>
                        <w:ind/>
                        <w:rPr/>
                      </w:pPr>
                      <w:r>
                        <w:t xml:space="preserve">Interface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</w:rPr>
        <w:t xml:space="preserve">Sondes à O</w:t>
      </w:r>
      <w:r>
        <w:rPr>
          <w:rFonts w:cstheme="minorHAnsi"/>
          <w:vertAlign w:val="subscript"/>
        </w:rPr>
        <w:t xml:space="preserve">2</w:t>
      </w:r>
      <w:r>
        <w:rPr>
          <w:rFonts w:cstheme="minorHAnsi"/>
        </w:rPr>
        <w:t xml:space="preserve"> , </w:t>
      </w:r>
      <w:r>
        <w:rPr>
          <w:rFonts w:cstheme="minorHAnsi"/>
        </w:rPr>
      </w:r>
    </w:p>
    <w:p w14:paraId="490784C0" w14:textId="1F7A3286">
      <w:pPr>
        <w:pStyle w:val="684"/>
        <w:numPr>
          <w:ilvl w:val="0"/>
          <w:numId w:val="8"/>
        </w:numPr>
        <w:pBdr/>
        <w:spacing w:after="0" w:line="240" w:lineRule="auto"/>
        <w:ind/>
        <w:jc w:val="both"/>
        <w:rPr>
          <w:rFonts w:cstheme="minorHAnsi"/>
        </w:rPr>
      </w:pPr>
      <w:r>
        <w:rPr>
          <w:rFonts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4997450</wp:posOffset>
                </wp:positionH>
                <wp:positionV relativeFrom="paragraph">
                  <wp:posOffset>28575</wp:posOffset>
                </wp:positionV>
                <wp:extent cx="400050" cy="749300"/>
                <wp:effectExtent l="0" t="0" r="57150" b="50800"/>
                <wp:wrapNone/>
                <wp:docPr id="3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00050" cy="749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32" type="#_x0000_t32" style="position:absolute;z-index:251681792;o:allowoverlap:true;o:allowincell:true;mso-position-horizontal-relative:text;margin-left:393.50pt;mso-position-horizontal:absolute;mso-position-vertical-relative:text;margin-top:2.25pt;mso-position-vertical:absolute;width:31.50pt;height:59.00pt;mso-wrap-distance-left:9.00pt;mso-wrap-distance-top:0.00pt;mso-wrap-distance-right:9.00pt;mso-wrap-distance-bottom:0.00pt;visibility:visible;" filled="f" strokecolor="#4472C4" strokeweight="0.50pt">
                <v:stroke dashstyle="solid"/>
              </v:shape>
            </w:pict>
          </mc:Fallback>
        </mc:AlternateContent>
      </w:r>
      <w:r>
        <w:rPr>
          <w:rFonts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3892550</wp:posOffset>
                </wp:positionH>
                <wp:positionV relativeFrom="paragraph">
                  <wp:posOffset>111125</wp:posOffset>
                </wp:positionV>
                <wp:extent cx="901700" cy="279400"/>
                <wp:effectExtent l="0" t="0" r="12700" b="25400"/>
                <wp:wrapNone/>
                <wp:docPr id="4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9017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C20A1D" w14:textId="765502A5"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Bioréacteur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76672;o:allowoverlap:true;o:allowincell:true;mso-position-horizontal-relative:text;margin-left:306.50pt;mso-position-horizontal:absolute;mso-position-vertical-relative:text;margin-top:8.75pt;mso-position-vertical:absolute;width:71.00pt;height:22.0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6FC20A1D" w14:textId="765502A5">
                      <w:pPr>
                        <w:pBdr/>
                        <w:spacing/>
                        <w:ind/>
                        <w:rPr/>
                      </w:pPr>
                      <w:r>
                        <w:t xml:space="preserve">Bioréacteur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5988050</wp:posOffset>
                </wp:positionH>
                <wp:positionV relativeFrom="paragraph">
                  <wp:posOffset>117475</wp:posOffset>
                </wp:positionV>
                <wp:extent cx="241300" cy="806450"/>
                <wp:effectExtent l="0" t="0" r="63500" b="50800"/>
                <wp:wrapNone/>
                <wp:docPr id="5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41300" cy="806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" o:spid="_x0000_s4" o:spt="32" type="#_x0000_t32" style="position:absolute;z-index:251675648;o:allowoverlap:true;o:allowincell:true;mso-position-horizontal-relative:text;margin-left:471.50pt;mso-position-horizontal:absolute;mso-position-vertical-relative:text;margin-top:9.25pt;mso-position-vertical:absolute;width:19.00pt;height:63.50pt;mso-wrap-distance-left:9.00pt;mso-wrap-distance-top:0.00pt;mso-wrap-distance-right:9.00pt;mso-wrap-distance-bottom:0.00pt;visibility:visible;" filled="f" strokecolor="#4472C4" strokeweight="0.50pt">
                <v:stroke dashstyle="solid"/>
              </v:shape>
            </w:pict>
          </mc:Fallback>
        </mc:AlternateContent>
      </w:r>
      <w:r>
        <w:rPr>
          <w:rFonts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4984750</wp:posOffset>
                </wp:positionH>
                <wp:positionV relativeFrom="paragraph">
                  <wp:posOffset>9525</wp:posOffset>
                </wp:positionV>
                <wp:extent cx="260350" cy="812800"/>
                <wp:effectExtent l="0" t="0" r="63500" b="63500"/>
                <wp:wrapNone/>
                <wp:docPr id="6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60350" cy="812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" o:spid="_x0000_s5" o:spt="32" type="#_x0000_t32" style="position:absolute;z-index:251673600;o:allowoverlap:true;o:allowincell:true;mso-position-horizontal-relative:text;margin-left:392.50pt;mso-position-horizontal:absolute;mso-position-vertical-relative:text;margin-top:0.75pt;mso-position-vertical:absolute;width:20.50pt;height:64.00pt;mso-wrap-distance-left:9.00pt;mso-wrap-distance-top:0.00pt;mso-wrap-distance-right:9.00pt;mso-wrap-distance-bottom:0.00pt;visibility:visible;" filled="f" strokecolor="#4472C4" strokeweight="0.50pt">
                <v:stroke dashstyle="solid"/>
              </v:shape>
            </w:pict>
          </mc:Fallback>
        </mc:AlternateContent>
      </w:r>
      <w:r>
        <w:rPr>
          <w:rFonts w:cstheme="minorHAnsi"/>
        </w:rPr>
        <w:t xml:space="preserve">Sondes à CO</w:t>
      </w:r>
      <w:r>
        <w:rPr>
          <w:rFonts w:cstheme="minorHAnsi"/>
          <w:vertAlign w:val="subscript"/>
        </w:rPr>
        <w:t xml:space="preserve">2</w:t>
      </w:r>
      <w:r>
        <w:rPr>
          <w:rFonts w:cstheme="minorHAnsi"/>
        </w:rPr>
        <w:t xml:space="preserve">, </w:t>
      </w:r>
      <w:r>
        <w:rPr>
          <w:rFonts w:cstheme="minorHAnsi"/>
        </w:rPr>
      </w:r>
    </w:p>
    <w:p w14:paraId="09365700" w14:textId="7C4873CC">
      <w:pPr>
        <w:pStyle w:val="684"/>
        <w:numPr>
          <w:ilvl w:val="0"/>
          <w:numId w:val="8"/>
        </w:num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156210</wp:posOffset>
                </wp:positionV>
                <wp:extent cx="273050" cy="850900"/>
                <wp:effectExtent l="0" t="0" r="69850" b="63500"/>
                <wp:wrapNone/>
                <wp:docPr id="7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3050" cy="850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o:spt="32" type="#_x0000_t32" style="position:absolute;z-index:251674624;o:allowoverlap:true;o:allowincell:true;mso-position-horizontal-relative:text;margin-left:376.50pt;mso-position-horizontal:absolute;mso-position-vertical-relative:text;margin-top:12.30pt;mso-position-vertical:absolute;width:21.50pt;height:67.00pt;mso-wrap-distance-left:9.00pt;mso-wrap-distance-top:0.00pt;mso-wrap-distance-right:9.00pt;mso-wrap-distance-bottom:0.00pt;visibility:visible;" filled="f" strokecolor="#4472C4" strokeweight="0.50pt">
                <v:stroke dashstyle="solid"/>
              </v:shape>
            </w:pict>
          </mc:Fallback>
        </mc:AlternateContent>
      </w:r>
      <w:r>
        <w:rPr>
          <w:rFonts w:cstheme="minorHAnsi"/>
          <w14:ligatures w14:val="standardContextu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3457477</wp:posOffset>
                </wp:positionH>
                <wp:positionV relativeFrom="paragraph">
                  <wp:posOffset>128075</wp:posOffset>
                </wp:positionV>
                <wp:extent cx="3322955" cy="1600200"/>
                <wp:effectExtent l="0" t="0" r="0" b="0"/>
                <wp:wrapSquare wrapText="bothSides"/>
                <wp:docPr id="8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685643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rcRect l="3626" t="21026" r="5013" b="8099"/>
                        <a:stretch/>
                      </pic:blipFill>
                      <pic:spPr bwMode="auto">
                        <a:xfrm>
                          <a:off x="0" y="0"/>
                          <a:ext cx="3322955" cy="1600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position:absolute;z-index:251664384;o:allowoverlap:true;o:allowincell:true;mso-position-horizontal-relative:text;margin-left:272.24pt;mso-position-horizontal:absolute;mso-position-vertical-relative:text;margin-top:10.08pt;mso-position-vertical:absolute;width:261.65pt;height:126.00pt;mso-wrap-distance-left:9.00pt;mso-wrap-distance-top:0.00pt;mso-wrap-distance-right:9.00pt;mso-wrap-distance-bottom:0.00pt;z-index:1;" stroked="f">
                <w10:wrap type="square"/>
                <v:imagedata r:id="rId9" o:title="" croptop="13780f" cropleft="2376f" cropbottom="5308f" cropright="3285f"/>
                <o:lock v:ext="edit" rotation="t"/>
              </v:shape>
            </w:pict>
          </mc:Fallback>
        </mc:AlternateContent>
      </w:r>
      <w:r>
        <w:rPr>
          <w:rFonts w:cstheme="minorHAnsi"/>
        </w:rPr>
        <w:t xml:space="preserve">Sondes à éthanol. </w:t>
      </w:r>
      <w:r>
        <w:rPr>
          <w:rFonts w:cstheme="minorHAnsi"/>
        </w:rPr>
      </w:r>
    </w:p>
    <w:p w14:paraId="7D749C74" w14:textId="77777777">
      <w:pPr>
        <w:pStyle w:val="684"/>
        <w:pBdr/>
        <w:spacing w:after="0" w:line="240" w:lineRule="auto"/>
        <w:ind/>
        <w:jc w:val="both"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</w:p>
    <w:p w14:paraId="04B45A3E" w14:textId="580B24AE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C</w:t>
      </w:r>
      <w:r>
        <w:rPr>
          <w:rFonts w:cstheme="minorHAnsi"/>
        </w:rPr>
        <w:t xml:space="preserve">es sondes permettent de relever</w:t>
      </w:r>
      <w:r>
        <w:rPr>
          <w:rFonts w:cstheme="minorHAnsi"/>
        </w:rPr>
        <w:t xml:space="preserve"> et d’afficher </w:t>
      </w:r>
      <w:r>
        <w:rPr>
          <w:rFonts w:cstheme="minorHAnsi"/>
        </w:rPr>
        <w:t xml:space="preserve">la </w:t>
      </w:r>
      <w:r>
        <w:rPr>
          <w:rFonts w:cstheme="minorHAnsi"/>
        </w:rPr>
        <w:t xml:space="preserve">concentration</w:t>
      </w:r>
      <w:r>
        <w:rPr>
          <w:rFonts w:cstheme="minorHAnsi"/>
        </w:rPr>
        <w:t xml:space="preserve"> de différentes molécules </w:t>
      </w:r>
      <w:r>
        <w:rPr>
          <w:rFonts w:cstheme="minorHAnsi"/>
        </w:rPr>
        <w:t xml:space="preserve">dans un bioréacteur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(contenant le milieu étudié) </w:t>
      </w:r>
      <w:r>
        <w:rPr>
          <w:rFonts w:cstheme="minorHAnsi"/>
        </w:rPr>
        <w:t xml:space="preserve">au cours du temps</w:t>
      </w:r>
      <w:r>
        <w:rPr>
          <w:rFonts w:cstheme="minorHAnsi"/>
        </w:rPr>
        <w:t xml:space="preserve">.</w:t>
      </w:r>
      <w:r>
        <w:rPr>
          <w:rFonts w:cstheme="minorHAnsi"/>
        </w:rPr>
      </w:r>
    </w:p>
    <w:p w14:paraId="2A8AFDCE" w14:textId="6965FFD7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Il est alors possible d’obtenir des graphiques représentant l’évolution de la </w:t>
      </w:r>
      <w:r>
        <w:rPr>
          <w:rFonts w:cstheme="minorHAnsi"/>
        </w:rPr>
        <w:t xml:space="preserve">concentration</w:t>
      </w:r>
      <w:r>
        <w:rPr>
          <w:rFonts w:cstheme="minorHAnsi"/>
        </w:rPr>
        <w:t xml:space="preserve"> des différentes molécules</w:t>
      </w:r>
      <w:r>
        <w:rPr>
          <w:rFonts w:cstheme="minorHAnsi"/>
        </w:rPr>
        <w:t xml:space="preserve"> étudiées</w:t>
      </w:r>
      <w:r>
        <w:rPr>
          <w:rFonts w:cstheme="minorHAnsi"/>
        </w:rPr>
        <w:t xml:space="preserve"> en fonction du temps sur l’ordinateur</w:t>
      </w:r>
      <w:r>
        <w:rPr>
          <w:rFonts w:cstheme="minorHAnsi"/>
        </w:rPr>
        <w:t xml:space="preserve">.</w:t>
      </w:r>
      <w:r>
        <w:rPr>
          <w:rFonts w:cstheme="minorHAnsi"/>
        </w:rPr>
      </w:r>
    </w:p>
    <w:p w14:paraId="575A5E3D" w14:textId="2BCEC9D7">
      <w:pPr>
        <w:pBdr/>
        <w:spacing/>
        <w:ind/>
        <w:rPr>
          <w:rFonts w:ascii="Arial" w:hAnsi="Arial" w:cs="Arial"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</w:p>
    <w:p w14:paraId="054DFED0" w14:textId="066143C5">
      <w:pPr>
        <w:pBdr/>
        <w:spacing/>
        <w:ind/>
        <w:jc w:val="both"/>
        <w:rPr>
          <w:rFonts w:cstheme="minorHAnsi"/>
          <w:color w:val="000000" w:themeColor="text1"/>
          <w:u w:val="single"/>
        </w:rPr>
      </w:pPr>
      <w:r>
        <w:rPr>
          <w:rFonts w:cstheme="minorHAnsi"/>
          <w:color w:val="000000" w:themeColor="text1"/>
          <w:u w:val="single"/>
        </w:rPr>
        <w:t xml:space="preserve">Document </w:t>
      </w:r>
      <w:r>
        <w:rPr>
          <w:rFonts w:cstheme="minorHAnsi"/>
          <w:color w:val="000000" w:themeColor="text1"/>
          <w:u w:val="single"/>
        </w:rPr>
        <w:t xml:space="preserve">2</w:t>
      </w:r>
      <w:r>
        <w:rPr>
          <w:rFonts w:cstheme="minorHAnsi"/>
          <w:color w:val="000000" w:themeColor="text1"/>
        </w:rPr>
        <w:t xml:space="preserve"> : Matériel à disposition</w:t>
      </w:r>
      <w:r>
        <w:rPr>
          <w:rFonts w:cstheme="minorHAnsi"/>
          <w:color w:val="000000" w:themeColor="text1"/>
          <w:u w:val="single"/>
        </w:rPr>
      </w:r>
    </w:p>
    <w:p w14:paraId="1C3521AB" w14:textId="5115C0D7">
      <w:pPr>
        <w:pBdr/>
        <w:spacing/>
        <w:ind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</w:r>
      <w:r>
        <w:rPr>
          <w:rFonts w:cstheme="minorHAnsi"/>
          <w:color w:val="000000" w:themeColor="text1"/>
        </w:rPr>
      </w:r>
    </w:p>
    <w:p w14:paraId="3D91D891" w14:textId="009E3B68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>
        <w:rPr>
          <w:rFonts w:cstheme="minorHAnsi"/>
        </w:rPr>
        <w:t xml:space="preserve">Elodées du Canada</w:t>
      </w:r>
      <w:r>
        <w:rPr>
          <w:rFonts w:cstheme="minorHAnsi"/>
        </w:rPr>
        <w:t xml:space="preserve"> ;</w:t>
      </w:r>
      <w:r>
        <w:rPr>
          <w:rFonts w:cstheme="minorHAnsi"/>
        </w:rPr>
      </w:r>
    </w:p>
    <w:p w14:paraId="563C24DF" w14:textId="430D35EF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- D</w:t>
      </w:r>
      <w:r>
        <w:rPr>
          <w:rFonts w:cstheme="minorHAnsi"/>
        </w:rPr>
        <w:t xml:space="preserve">ispositif ExAO (ordinateur, interface, </w:t>
      </w:r>
      <w:r>
        <w:rPr>
          <w:rFonts w:cstheme="minorHAnsi"/>
        </w:rPr>
        <w:t xml:space="preserve">sonde à O</w:t>
      </w:r>
      <w:r>
        <w:rPr>
          <w:rFonts w:cstheme="minorHAnsi"/>
          <w:vertAlign w:val="subscript"/>
        </w:rPr>
        <w:t xml:space="preserve">2</w:t>
      </w:r>
      <w:r>
        <w:rPr>
          <w:rFonts w:cstheme="minorHAnsi"/>
        </w:rPr>
        <w:t xml:space="preserve">, sonde à CO</w:t>
      </w:r>
      <w:r>
        <w:rPr>
          <w:rFonts w:cstheme="minorHAnsi"/>
          <w:vertAlign w:val="subscript"/>
        </w:rPr>
        <w:t xml:space="preserve">2</w:t>
      </w:r>
      <w:r>
        <w:rPr>
          <w:rFonts w:cstheme="minorHAnsi"/>
        </w:rPr>
        <w:t xml:space="preserve">)</w:t>
      </w:r>
      <w:r>
        <w:rPr>
          <w:rFonts w:cstheme="minorHAnsi"/>
        </w:rPr>
        <w:t xml:space="preserve"> ;</w:t>
      </w:r>
      <w:r>
        <w:rPr>
          <w:rFonts w:cstheme="minorHAnsi"/>
        </w:rPr>
      </w:r>
    </w:p>
    <w:p w14:paraId="05442121" w14:textId="676431C0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- B</w:t>
      </w:r>
      <w:r>
        <w:rPr>
          <w:rFonts w:cstheme="minorHAnsi"/>
        </w:rPr>
        <w:t xml:space="preserve">ioréacteur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(avec caches opaques amovibles pour effectuer l’obscurité)</w:t>
      </w:r>
      <w:r>
        <w:rPr>
          <w:rFonts w:cstheme="minorHAnsi"/>
        </w:rPr>
        <w:t xml:space="preserve"> ;</w:t>
      </w:r>
      <w:r>
        <w:rPr>
          <w:rFonts w:cstheme="minorHAnsi"/>
        </w:rPr>
      </w:r>
    </w:p>
    <w:p w14:paraId="3D596820" w14:textId="09D58FCF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- L</w:t>
      </w:r>
      <w:r>
        <w:rPr>
          <w:rFonts w:cstheme="minorHAnsi"/>
        </w:rPr>
        <w:t xml:space="preserve">ampe</w:t>
      </w:r>
      <w:r>
        <w:rPr>
          <w:rFonts w:cstheme="minorHAnsi"/>
        </w:rPr>
        <w:t xml:space="preserve">.</w:t>
      </w:r>
      <w:r>
        <w:rPr>
          <w:rFonts w:cstheme="minorHAnsi"/>
        </w:rPr>
      </w:r>
    </w:p>
    <w:p w14:paraId="29FC66A6" w14:textId="77777777"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41475513" w14:textId="77777777">
      <w:pPr>
        <w:pBdr/>
        <w:spacing/>
        <w:ind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</w:p>
    <w:p w14:paraId="1003A9F0" w14:textId="77777777">
      <w:pPr>
        <w:pBdr/>
        <w:spacing/>
        <w:ind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</w:p>
    <w:p w14:paraId="12B4BE6F" w14:textId="77777777">
      <w:pPr>
        <w:pBdr/>
        <w:spacing/>
        <w:ind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</w:p>
    <w:p w14:paraId="319519AA" w14:textId="77777777">
      <w:pPr>
        <w:pBdr/>
        <w:spacing/>
        <w:ind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</w:p>
    <w:p w14:paraId="53C02A50" w14:textId="1F67CDC4">
      <w:pPr>
        <w:pBdr/>
        <w:spacing/>
        <w:ind/>
        <w:rPr>
          <w:rFonts w:cstheme="minorHAnsi"/>
          <w:color w:val="ff0000"/>
          <w:u w:val="single"/>
        </w:rPr>
      </w:pPr>
      <w:r>
        <w:rPr>
          <w:rFonts w:cstheme="minorHAnsi"/>
          <w:color w:val="000000" w:themeColor="text1"/>
          <w:u w:val="single"/>
        </w:rPr>
        <w:t xml:space="preserve">Document </w:t>
      </w:r>
      <w:r>
        <w:rPr>
          <w:rFonts w:cstheme="minorHAnsi"/>
          <w:color w:val="000000" w:themeColor="text1"/>
          <w:u w:val="single"/>
        </w:rPr>
        <w:t xml:space="preserve">d’aide</w:t>
      </w:r>
      <w:r>
        <w:rPr>
          <w:rFonts w:cstheme="minorHAnsi"/>
          <w:color w:val="000000" w:themeColor="text1"/>
        </w:rPr>
        <w:t xml:space="preserve"> : L’influence de la lumière dans la croissance des cellules végétales </w:t>
      </w:r>
      <w:r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ff0000"/>
          <w:u w:val="single"/>
        </w:rPr>
      </w:r>
    </w:p>
    <w:p w14:paraId="0E243334" w14:textId="7AF6E28C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Les euglènes sont des êtres vivants unicellulaires chlorophylliens (cont</w:t>
      </w:r>
      <w:r>
        <w:rPr>
          <w:rFonts w:cstheme="minorHAnsi"/>
        </w:rPr>
        <w:t xml:space="preserve">enant</w:t>
      </w:r>
      <w:r>
        <w:rPr>
          <w:rFonts w:cstheme="minorHAnsi"/>
        </w:rPr>
        <w:t xml:space="preserve"> de la chlorophylle dans des organites spécialisés : les chloroplastes). Le tableau ci-dessous présente les résultats de la </w:t>
      </w:r>
      <w:r>
        <w:rPr>
          <w:rFonts w:cstheme="minorHAnsi"/>
        </w:rPr>
        <w:t xml:space="preserve">multiplication</w:t>
      </w:r>
      <w:r>
        <w:rPr>
          <w:rFonts w:cstheme="minorHAnsi"/>
        </w:rPr>
        <w:t xml:space="preserve"> de</w:t>
      </w:r>
      <w:r>
        <w:rPr>
          <w:rFonts w:cstheme="minorHAnsi"/>
        </w:rPr>
        <w:t xml:space="preserve">s cellule</w:t>
      </w:r>
      <w:r>
        <w:rPr>
          <w:rFonts w:cstheme="minorHAnsi"/>
        </w:rPr>
        <w:t xml:space="preserve">s</w:t>
      </w:r>
      <w:r>
        <w:rPr>
          <w:rFonts w:cstheme="minorHAnsi"/>
        </w:rPr>
        <w:t xml:space="preserve"> d’euglènes</w:t>
      </w:r>
      <w:r>
        <w:rPr>
          <w:rFonts w:cstheme="minorHAnsi"/>
        </w:rPr>
        <w:t xml:space="preserve">, dans un milieu A et un milieu B</w:t>
      </w:r>
      <w:r>
        <w:rPr>
          <w:rFonts w:cstheme="minorHAnsi"/>
        </w:rPr>
        <w:t xml:space="preserve">. </w:t>
      </w:r>
      <w:r>
        <w:rPr>
          <w:rFonts w:cstheme="minorHAnsi"/>
        </w:rPr>
        <w:t xml:space="preserve">Pour chaque milieu, la culture d’origine contient un million de cellules par </w:t>
      </w:r>
      <w:r>
        <w:rPr>
          <w:rFonts w:cstheme="minorHAnsi"/>
        </w:rPr>
        <w:t xml:space="preserve">mL</w:t>
      </w:r>
      <w:r>
        <w:rPr>
          <w:rFonts w:cstheme="minorHAnsi"/>
        </w:rPr>
        <w:t xml:space="preserve">.</w:t>
      </w:r>
      <w:r>
        <w:rPr>
          <w:rFonts w:cstheme="minorHAnsi"/>
        </w:rPr>
      </w:r>
    </w:p>
    <w:tbl>
      <w:tblPr>
        <w:tblStyle w:val="689"/>
        <w:tblW w:w="0" w:type="auto"/>
        <w:tblBorders/>
        <w:tblLook w:val="04A0" w:firstRow="1" w:lastRow="0" w:firstColumn="1" w:lastColumn="0" w:noHBand="0" w:noVBand="1"/>
      </w:tblPr>
      <w:tblGrid>
        <w:gridCol w:w="2727"/>
        <w:gridCol w:w="3786"/>
        <w:gridCol w:w="3943"/>
      </w:tblGrid>
      <w:tr>
        <w:trPr/>
        <w:tc>
          <w:tcPr>
            <w:tcBorders/>
            <w:tcW w:w="3003" w:type="dxa"/>
          </w:tcPr>
          <w:p w14:paraId="1DCD1A33" w14:textId="77777777">
            <w:pPr>
              <w:pBdr/>
              <w:spacing/>
              <w:ind/>
              <w:jc w:val="both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</w:r>
            <w:r>
              <w:rPr>
                <w:rFonts w:cstheme="minorHAnsi"/>
                <w:lang w:val="fr-FR"/>
              </w:rPr>
            </w:r>
          </w:p>
        </w:tc>
        <w:tc>
          <w:tcPr>
            <w:tcBorders/>
            <w:tcW w:w="3595" w:type="dxa"/>
          </w:tcPr>
          <w:p w14:paraId="6072D4DE" w14:textId="77777777">
            <w:pPr>
              <w:pBdr/>
              <w:spacing/>
              <w:ind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Milieu A</w:t>
            </w:r>
            <w:r>
              <w:rPr>
                <w:rFonts w:cstheme="minorHAnsi"/>
                <w:b/>
                <w:bCs/>
              </w:rPr>
            </w:r>
          </w:p>
        </w:tc>
        <w:tc>
          <w:tcPr>
            <w:tcBorders/>
            <w:tcW w:w="3966" w:type="dxa"/>
          </w:tcPr>
          <w:p w14:paraId="305D2749" w14:textId="77777777">
            <w:pPr>
              <w:pBdr/>
              <w:spacing/>
              <w:ind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Milieu B</w:t>
            </w:r>
            <w:r>
              <w:rPr>
                <w:rFonts w:cstheme="minorHAnsi"/>
                <w:b/>
                <w:bCs/>
              </w:rPr>
            </w:r>
          </w:p>
        </w:tc>
      </w:tr>
      <w:tr>
        <w:trPr/>
        <w:tc>
          <w:tcPr>
            <w:tcBorders/>
            <w:tcW w:w="3003" w:type="dxa"/>
          </w:tcPr>
          <w:p w14:paraId="4F486305" w14:textId="77777777">
            <w:pPr>
              <w:pBdr/>
              <w:spacing/>
              <w:ind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Eau </w:t>
            </w:r>
            <w:r>
              <w:rPr>
                <w:rFonts w:cstheme="minorHAnsi"/>
                <w:b/>
                <w:bCs/>
              </w:rPr>
              <w:t xml:space="preserve">distillée</w:t>
            </w:r>
            <w:r>
              <w:rPr>
                <w:rFonts w:cstheme="minorHAnsi"/>
                <w:b/>
                <w:bCs/>
              </w:rPr>
            </w:r>
          </w:p>
        </w:tc>
        <w:tc>
          <w:tcPr>
            <w:tcBorders/>
            <w:tcW w:w="3595" w:type="dxa"/>
          </w:tcPr>
          <w:p w14:paraId="270B9D06" w14:textId="77777777">
            <w:pPr>
              <w:pBdr/>
              <w:spacing/>
              <w:ind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0,5 L</w:t>
            </w:r>
            <w:r>
              <w:rPr>
                <w:rFonts w:cstheme="minorHAnsi"/>
              </w:rPr>
            </w:r>
          </w:p>
        </w:tc>
        <w:tc>
          <w:tcPr>
            <w:tcBorders/>
            <w:tcW w:w="3966" w:type="dxa"/>
          </w:tcPr>
          <w:p w14:paraId="0393A4D5" w14:textId="77777777">
            <w:pPr>
              <w:pBdr/>
              <w:spacing/>
              <w:ind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0,5 L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003" w:type="dxa"/>
          </w:tcPr>
          <w:p w14:paraId="4527499C" w14:textId="77777777">
            <w:pPr>
              <w:pBdr/>
              <w:spacing/>
              <w:ind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Sels </w:t>
            </w:r>
            <w:r>
              <w:rPr>
                <w:rFonts w:cstheme="minorHAnsi"/>
                <w:b/>
                <w:bCs/>
              </w:rPr>
              <w:t xml:space="preserve">minéraux</w:t>
            </w:r>
            <w:r>
              <w:rPr>
                <w:rFonts w:cstheme="minorHAnsi"/>
                <w:b/>
                <w:bCs/>
              </w:rPr>
            </w:r>
          </w:p>
        </w:tc>
        <w:tc>
          <w:tcPr>
            <w:tcBorders/>
            <w:tcW w:w="3595" w:type="dxa"/>
          </w:tcPr>
          <w:p w14:paraId="0F3FBEC4" w14:textId="77777777">
            <w:pPr>
              <w:pBdr/>
              <w:spacing/>
              <w:ind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4 g</w:t>
            </w:r>
            <w:r>
              <w:rPr>
                <w:rFonts w:cstheme="minorHAnsi"/>
              </w:rPr>
            </w:r>
          </w:p>
        </w:tc>
        <w:tc>
          <w:tcPr>
            <w:tcBorders/>
            <w:tcW w:w="3966" w:type="dxa"/>
          </w:tcPr>
          <w:p w14:paraId="1B86178F" w14:textId="77777777">
            <w:pPr>
              <w:pBdr/>
              <w:spacing/>
              <w:ind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4 g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003" w:type="dxa"/>
          </w:tcPr>
          <w:p w14:paraId="4C082F21" w14:textId="77777777">
            <w:pPr>
              <w:pBdr/>
              <w:spacing/>
              <w:ind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Glucose</w:t>
            </w:r>
            <w:r>
              <w:rPr>
                <w:rFonts w:cstheme="minorHAnsi"/>
                <w:b/>
                <w:bCs/>
              </w:rPr>
            </w:r>
          </w:p>
        </w:tc>
        <w:tc>
          <w:tcPr>
            <w:tcBorders/>
            <w:tcW w:w="3595" w:type="dxa"/>
          </w:tcPr>
          <w:p w14:paraId="7104F3F5" w14:textId="77777777">
            <w:pPr>
              <w:pBdr/>
              <w:spacing/>
              <w:ind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0</w:t>
            </w:r>
            <w:r>
              <w:rPr>
                <w:rFonts w:cstheme="minorHAnsi"/>
              </w:rPr>
            </w:r>
          </w:p>
        </w:tc>
        <w:tc>
          <w:tcPr>
            <w:tcBorders/>
            <w:tcW w:w="3966" w:type="dxa"/>
          </w:tcPr>
          <w:p w14:paraId="660FEF38" w14:textId="77777777">
            <w:pPr>
              <w:pBdr/>
              <w:spacing/>
              <w:ind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0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003" w:type="dxa"/>
          </w:tcPr>
          <w:p w14:paraId="529B6B39" w14:textId="77777777">
            <w:pPr>
              <w:pBdr/>
              <w:spacing/>
              <w:ind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Exposition à la lumière</w:t>
            </w:r>
            <w:r>
              <w:rPr>
                <w:rFonts w:cstheme="minorHAnsi"/>
                <w:b/>
                <w:bCs/>
              </w:rPr>
            </w:r>
          </w:p>
        </w:tc>
        <w:tc>
          <w:tcPr>
            <w:tcBorders/>
            <w:tcW w:w="3595" w:type="dxa"/>
          </w:tcPr>
          <w:p w14:paraId="2F6D5BF9" w14:textId="77777777">
            <w:pPr>
              <w:pBdr/>
              <w:spacing/>
              <w:ind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Non</w:t>
            </w:r>
            <w:r>
              <w:rPr>
                <w:rFonts w:cstheme="minorHAnsi"/>
              </w:rPr>
            </w:r>
          </w:p>
        </w:tc>
        <w:tc>
          <w:tcPr>
            <w:tcBorders/>
            <w:tcW w:w="3966" w:type="dxa"/>
          </w:tcPr>
          <w:p w14:paraId="116E3960" w14:textId="77777777">
            <w:pPr>
              <w:pBdr/>
              <w:spacing/>
              <w:ind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Oui</w:t>
            </w:r>
            <w:r>
              <w:rPr>
                <w:rFonts w:cstheme="minorHAnsi"/>
              </w:rPr>
            </w:r>
          </w:p>
        </w:tc>
      </w:tr>
      <w:tr>
        <w:trPr>
          <w:trHeight w:val="1833"/>
        </w:trPr>
        <w:tc>
          <w:tcPr>
            <w:tcBorders/>
            <w:tcW w:w="3003" w:type="dxa"/>
          </w:tcPr>
          <w:p w14:paraId="0FA70F71" w14:textId="77777777">
            <w:pPr>
              <w:pBdr/>
              <w:spacing/>
              <w:ind/>
              <w:jc w:val="both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 xml:space="preserve">Aspect après 5 jours de culture</w:t>
            </w:r>
            <w:r>
              <w:rPr>
                <w:rFonts w:cstheme="minorHAnsi"/>
                <w:b/>
                <w:bCs/>
                <w:lang w:val="fr-FR"/>
              </w:rPr>
            </w:r>
          </w:p>
        </w:tc>
        <w:tc>
          <w:tcPr>
            <w:tcBorders/>
            <w:tcW w:w="3595" w:type="dxa"/>
          </w:tcPr>
          <w:p w14:paraId="17080A4A" w14:textId="77777777">
            <w:pPr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14:ligatures w14:val="standardContextual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258950" cy="1170863"/>
                      <wp:effectExtent l="0" t="0" r="8255" b="0"/>
                      <wp:docPr id="9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1644194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0"/>
                              <a:srcRect l="34094" t="3165" r="24055" b="562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58950" cy="117086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8" o:spid="_x0000_s8" type="#_x0000_t75" style="width:177.87pt;height:92.19pt;mso-wrap-distance-left:0.00pt;mso-wrap-distance-top:0.00pt;mso-wrap-distance-right:0.00pt;mso-wrap-distance-bottom:0.00pt;z-index:1;" stroked="f">
                      <v:imagedata r:id="rId10" o:title="" croptop="2074f" cropleft="22344f" cropbottom="36838f" cropright="15765f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/>
            <w:tcW w:w="3966" w:type="dxa"/>
          </w:tcPr>
          <w:p w14:paraId="2A7F811E" w14:textId="77777777">
            <w:pPr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285365" cy="1183005"/>
                      <wp:effectExtent l="0" t="0" r="635" b="0"/>
                      <wp:docPr id="10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8005659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85365" cy="11830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9" o:spid="_x0000_s9" type="#_x0000_t75" style="width:179.95pt;height:93.15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 w14:paraId="34CA6637" w14:textId="77777777">
      <w:pPr>
        <w:pBdr/>
        <w:spacing/>
        <w:ind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</w:p>
    <w:p w14:paraId="30FD3BA5" w14:textId="7BA645A3">
      <w:pPr>
        <w:pBdr/>
        <w:spacing/>
        <w:ind/>
        <w:rPr/>
      </w:pPr>
      <w:r>
        <w:rPr>
          <w:b/>
          <w:color w:val="00b0f0"/>
        </w:rPr>
        <w:t xml:space="preserve">Critères de réussite de la compétence travaillée </w:t>
      </w:r>
      <w:r>
        <w:t xml:space="preserve">: </w:t>
      </w:r>
      <w:r/>
    </w:p>
    <w:p w14:paraId="06BABBFE" w14:textId="77777777">
      <w:pPr>
        <w:pBdr/>
        <w:spacing/>
        <w:ind/>
        <w:rPr>
          <w:b/>
        </w:rPr>
      </w:pPr>
      <w:r>
        <w:rPr>
          <w:b/>
        </w:rPr>
        <w:t xml:space="preserve">Analyser un problème, concevoir une stratégie de résolution et en prévoir les résultats</w:t>
      </w:r>
      <w:r>
        <w:rPr>
          <w:b/>
        </w:rPr>
      </w:r>
    </w:p>
    <w:tbl>
      <w:tblPr>
        <w:tblInd w:w="-5" w:type="dxa"/>
        <w:tblW w:w="10065" w:type="dxa"/>
        <w:tblCellMar>
          <w:left w:w="70" w:type="dxa"/>
          <w:right w:w="7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562"/>
        <w:gridCol w:w="1503"/>
      </w:tblGrid>
      <w:tr>
        <w:trPr>
          <w:trHeight w:val="392"/>
        </w:trPr>
        <w:tc>
          <w:tcPr>
            <w:shd w:val="clear" w:color="bdd6ee" w:fill="b4c6e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44CABB2E" w14:textId="77777777"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Je réussis si : </w: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</w:p>
          <w:p w14:paraId="307BA2E0" w14:textId="77777777">
            <w:pPr>
              <w:pBdr/>
              <w:spacing w:after="0" w:line="240" w:lineRule="auto"/>
              <w:ind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+/-</w: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</w:p>
        </w:tc>
        <w:tc>
          <w:tcPr>
            <w:shd w:val="clear" w:color="bdd6ee" w:fill="b4c6e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12242E5D" w14:textId="77777777"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Evaluation</w: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308D5768" w14:textId="77777777">
            <w:pPr>
              <w:pStyle w:val="687"/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PERTINENCE</w:t>
            </w:r>
            <w:r>
              <w:rPr>
                <w:rFonts w:cstheme="minorHAnsi"/>
                <w:spacing w:val="-6"/>
              </w:rPr>
              <w:t xml:space="preserve"> </w:t>
            </w:r>
            <w:r>
              <w:rPr>
                <w:rFonts w:cstheme="minorHAnsi"/>
              </w:rPr>
              <w:t xml:space="preserve">:</w:t>
            </w:r>
            <w:r>
              <w:rPr>
                <w:rFonts w:cstheme="minorHAnsi"/>
              </w:rPr>
              <w:t xml:space="preserve"> </w:t>
            </w:r>
            <w:r>
              <w:rPr>
                <w14:ligatures w14:val="standardContextual"/>
              </w:rPr>
              <w:t xml:space="preserve">Ma stratégie</w:t>
            </w:r>
            <w:r>
              <w:rPr>
                <w14:ligatures w14:val="standardContextual"/>
              </w:rPr>
              <w:t xml:space="preserve"> permet de </w:t>
            </w:r>
            <w:r>
              <w:rPr>
                <w:b/>
                <w14:ligatures w14:val="standardContextual"/>
              </w:rPr>
              <w:t xml:space="preserve">tester l’hypothèse</w:t>
            </w:r>
            <w:r>
              <w:rPr>
                <w14:ligatures w14:val="standardContextual"/>
              </w:rPr>
              <w:t xml:space="preserve"> énoncée en rapport avec le </w:t>
            </w:r>
            <w:r>
              <w:rPr>
                <w:b/>
                <w14:ligatures w14:val="standardContextual"/>
              </w:rPr>
              <w:t xml:space="preserve">problème à résoudre</w:t>
            </w:r>
            <w:r>
              <w:rPr>
                <w14:ligatures w14:val="standardContextual"/>
              </w:rPr>
              <w:t xml:space="preserve">, et d’obtenir des </w:t>
            </w:r>
            <w:r>
              <w:rPr>
                <w:b/>
                <w14:ligatures w14:val="standardContextual"/>
              </w:rPr>
              <w:t xml:space="preserve">résultats exploitables</w:t>
            </w:r>
            <w:r>
              <w:rPr>
                <w14:ligatures w14:val="standardContextual"/>
              </w:rPr>
              <w:t xml:space="preserve">.</w:t>
            </w:r>
            <w:r>
              <w:rPr>
                <w:rFonts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395EFFD5" w14:textId="77777777"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0C50B676" w14:textId="77777777">
            <w:pPr>
              <w:pStyle w:val="687"/>
              <w:pBdr/>
              <w:spacing/>
              <w:ind/>
              <w:rPr>
                <w14:ligatures w14:val="standardContextual"/>
              </w:rPr>
            </w:pPr>
            <w:r>
              <w:rPr>
                <w:rFonts w:cstheme="minorHAnsi"/>
                <w:u w:val="single"/>
              </w:rPr>
              <w:t xml:space="preserve">COMPLETUDE </w:t>
            </w:r>
            <w:r>
              <w:rPr>
                <w:rFonts w:cstheme="minorHAnsi"/>
              </w:rPr>
              <w:t xml:space="preserve">: </w:t>
            </w:r>
            <w:r>
              <w:rPr>
                <w14:ligatures w14:val="standardContextual"/>
              </w:rPr>
              <w:t xml:space="preserve">M</w:t>
            </w:r>
            <w:r>
              <w:rPr>
                <w14:ligatures w14:val="standardContextual"/>
              </w:rPr>
              <w:t xml:space="preserve">a stratégie de résolution contient </w:t>
            </w:r>
            <w:r>
              <w:rPr>
                <w14:ligatures w14:val="standardContextual"/>
              </w:rPr>
              <w:t xml:space="preserve">3 parties : </w:t>
            </w:r>
            <w:r>
              <w:rPr>
                <w14:ligatures w14:val="standardContextual"/>
              </w:rPr>
            </w:r>
          </w:p>
          <w:p w14:paraId="0F748B83" w14:textId="77777777">
            <w:pPr>
              <w:pStyle w:val="687"/>
              <w:pBdr/>
              <w:spacing/>
              <w:ind/>
              <w:rPr>
                <w14:ligatures w14:val="standardContextual"/>
              </w:rPr>
            </w:pPr>
            <w:r>
              <w:rPr>
                <w14:ligatures w14:val="standardContextual"/>
              </w:rPr>
              <w:t xml:space="preserve">- </w:t>
            </w:r>
            <w:r>
              <w:rPr>
                <w:b/>
                <w14:ligatures w14:val="standardContextual"/>
              </w:rPr>
              <w:t xml:space="preserve">ce que </w:t>
            </w:r>
            <w:r>
              <w:rPr>
                <w:b/>
                <w14:ligatures w14:val="standardContextual"/>
              </w:rPr>
              <w:t xml:space="preserve">je</w:t>
            </w:r>
            <w:r>
              <w:rPr>
                <w:b/>
                <w14:ligatures w14:val="standardContextual"/>
              </w:rPr>
              <w:t xml:space="preserve"> </w:t>
            </w:r>
            <w:r>
              <w:rPr>
                <w:b/>
                <w14:ligatures w14:val="standardContextual"/>
              </w:rPr>
              <w:t xml:space="preserve">fais</w:t>
            </w:r>
            <w:r>
              <w:rPr>
                <w14:ligatures w14:val="standardContextual"/>
              </w:rPr>
              <w:t xml:space="preserve"> : objectif et principe de la méthode.</w:t>
            </w:r>
            <w:r>
              <w:rPr>
                <w14:ligatures w14:val="standardContextual"/>
              </w:rPr>
            </w:r>
          </w:p>
          <w:p w14:paraId="0518CE60" w14:textId="77777777">
            <w:pPr>
              <w:pBdr/>
              <w:spacing w:after="0"/>
              <w:ind/>
              <w:rPr>
                <w14:ligatures w14:val="standardContextual"/>
              </w:rPr>
            </w:pPr>
            <w:r>
              <w:rPr>
                <w14:ligatures w14:val="standardContextual"/>
              </w:rPr>
              <w:t xml:space="preserve">- </w:t>
            </w:r>
            <w:r>
              <w:rPr>
                <w:b/>
                <w14:ligatures w14:val="standardContextual"/>
              </w:rPr>
              <w:t xml:space="preserve">comment </w:t>
            </w:r>
            <w:r>
              <w:rPr>
                <w:b/>
                <w14:ligatures w14:val="standardContextual"/>
              </w:rPr>
              <w:t xml:space="preserve">je le fais</w:t>
            </w:r>
            <w:r>
              <w:rPr>
                <w14:ligatures w14:val="standardContextual"/>
              </w:rPr>
              <w:t xml:space="preserve"> : i</w:t>
            </w:r>
            <w:r>
              <w:rPr>
                <w14:ligatures w14:val="standardContextual"/>
              </w:rPr>
              <w:t xml:space="preserve">l est prévu une situation de comparaison : un témoin et un test entre lesquels un unique paramètre varie. Il est précisé comment les résultats seront observés : par exemple grâce à un microscope optique, par l’utilisation de réactifs, d’un logiciel, etc.</w:t>
            </w:r>
            <w:r>
              <w:rPr>
                <w14:ligatures w14:val="standardContextual"/>
              </w:rPr>
            </w:r>
          </w:p>
          <w:p w14:paraId="23B1EBAE" w14:textId="77777777">
            <w:pPr>
              <w:pStyle w:val="687"/>
              <w:pBdr/>
              <w:spacing/>
              <w:ind/>
              <w:rPr>
                <w:rFonts w:cstheme="minorHAnsi"/>
              </w:rPr>
            </w:pPr>
            <w:r>
              <w:rPr>
                <w14:ligatures w14:val="standardContextual"/>
              </w:rPr>
              <w:t xml:space="preserve">- </w:t>
            </w:r>
            <w:r>
              <w:rPr>
                <w:b/>
                <w14:ligatures w14:val="standardContextual"/>
              </w:rPr>
              <w:t xml:space="preserve">ce </w:t>
            </w:r>
            <w:r>
              <w:rPr>
                <w:b/>
                <w14:ligatures w14:val="standardContextual"/>
              </w:rPr>
              <w:t xml:space="preserve">que j’attends </w:t>
            </w:r>
            <w:r>
              <w:rPr>
                <w14:ligatures w14:val="standardContextual"/>
              </w:rPr>
              <w:t xml:space="preserve">: les résultats attendus sont </w:t>
            </w:r>
            <w:r>
              <w:rPr>
                <w14:ligatures w14:val="standardContextual"/>
              </w:rPr>
              <w:t xml:space="preserve">décrit</w:t>
            </w:r>
            <w:r>
              <w:rPr>
                <w14:ligatures w14:val="standardContextual"/>
              </w:rPr>
              <w:t xml:space="preserve">.</w:t>
            </w:r>
            <w:r>
              <w:rPr>
                <w:rFonts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7BAB2B87" w14:textId="77777777"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71CC5788" w14:textId="77777777">
            <w:pPr>
              <w:pStyle w:val="688"/>
              <w:pBdr/>
              <w:spacing w:before="105" w:line="264" w:lineRule="exact"/>
              <w:ind/>
              <w:rPr>
                <w:b/>
              </w:rPr>
            </w:pPr>
            <w:r>
              <w:rPr>
                <w:rFonts w:asciiTheme="minorHAnsi" w:hAnsiTheme="minorHAnsi" w:eastAsiaTheme="minorHAnsi" w:cstheme="minorBidi"/>
                <w:u w:val="single"/>
                <w14:ligatures w14:val="standardContextual"/>
              </w:rPr>
              <w:t xml:space="preserve">EXACTITUDE</w:t>
            </w:r>
            <w:r>
              <w:rPr>
                <w:rFonts w:asciiTheme="minorHAnsi" w:hAnsiTheme="minorHAnsi" w:eastAsiaTheme="minorHAnsi" w:cstheme="minorBidi"/>
                <w14:ligatures w14:val="standardContextual"/>
              </w:rPr>
              <w:t xml:space="preserve"> : </w:t>
            </w:r>
            <w:r>
              <w:t xml:space="preserve">Je</w:t>
            </w:r>
            <w:r>
              <w:rPr>
                <w:spacing w:val="-2"/>
              </w:rPr>
              <w:t xml:space="preserve"> </w:t>
            </w:r>
            <w:r>
              <w:t xml:space="preserve">suis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 xml:space="preserve">rigoureux /rigoureuse :</w:t>
            </w:r>
            <w:r>
              <w:rPr>
                <w:b/>
              </w:rPr>
            </w:r>
          </w:p>
          <w:p w14:paraId="4746E7EE" w14:textId="77777777">
            <w:pPr>
              <w:pStyle w:val="688"/>
              <w:numPr>
                <w:ilvl w:val="0"/>
                <w:numId w:val="7"/>
              </w:numPr>
              <w:pBdr/>
              <w:tabs>
                <w:tab w:val="left" w:leader="none" w:pos="805"/>
              </w:tabs>
              <w:spacing w:line="260" w:lineRule="exact"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quantification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 xml:space="preserve">des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 xml:space="preserve">données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 xml:space="preserve">si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  <w:spacing w:val="-2"/>
              </w:rPr>
              <w:t xml:space="preserve">possible.</w:t>
            </w:r>
            <w:r>
              <w:rPr>
                <w:rFonts w:asciiTheme="minorHAnsi" w:hAnsiTheme="minorHAnsi"/>
              </w:rPr>
            </w:r>
          </w:p>
          <w:p w14:paraId="063C621E" w14:textId="77777777">
            <w:pPr>
              <w:pStyle w:val="688"/>
              <w:numPr>
                <w:ilvl w:val="0"/>
                <w:numId w:val="7"/>
              </w:numPr>
              <w:pBdr/>
              <w:tabs>
                <w:tab w:val="left" w:leader="none" w:pos="805"/>
              </w:tabs>
              <w:spacing w:line="260" w:lineRule="exact"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vocabulaire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 xml:space="preserve">scientifique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 xml:space="preserve">exact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 xml:space="preserve">et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  <w:spacing w:val="-2"/>
              </w:rPr>
              <w:t xml:space="preserve">précis.</w:t>
            </w:r>
            <w:r>
              <w:rPr>
                <w:rFonts w:asciiTheme="minorHAnsi" w:hAnsiTheme="minorHAnsi"/>
              </w:rPr>
            </w:r>
          </w:p>
          <w:p w14:paraId="558CC568" w14:textId="77777777">
            <w:pPr>
              <w:pStyle w:val="688"/>
              <w:numPr>
                <w:ilvl w:val="0"/>
                <w:numId w:val="7"/>
              </w:numPr>
              <w:pBdr/>
              <w:tabs>
                <w:tab w:val="left" w:leader="none" w:pos="805"/>
              </w:tabs>
              <w:spacing w:line="260" w:lineRule="exact"/>
              <w:ind/>
              <w:rPr/>
            </w:pPr>
            <w:r>
              <w:rPr>
                <w:rFonts w:asciiTheme="minorHAnsi" w:hAnsiTheme="minorHAnsi"/>
                <w:b/>
              </w:rPr>
              <w:t xml:space="preserve">sans</w:t>
            </w:r>
            <w:r>
              <w:rPr>
                <w:rFonts w:asciiTheme="minorHAnsi" w:hAnsi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/>
                <w:b/>
              </w:rPr>
              <w:t xml:space="preserve">déformation</w:t>
            </w:r>
            <w:r>
              <w:rPr>
                <w:rFonts w:asciiTheme="minorHAnsi" w:hAnsiTheme="minorHAnsi"/>
                <w:b/>
                <w:spacing w:val="-3"/>
              </w:rPr>
              <w:t xml:space="preserve"> </w:t>
            </w:r>
            <w:r>
              <w:rPr>
                <w:rFonts w:asciiTheme="minorHAnsi" w:hAnsiTheme="minorHAnsi"/>
                <w:b/>
              </w:rPr>
              <w:t xml:space="preserve">ni</w:t>
            </w:r>
            <w:r>
              <w:rPr>
                <w:rFonts w:asciiTheme="minorHAnsi" w:hAnsi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/>
                <w:b/>
              </w:rPr>
              <w:t xml:space="preserve">erreur</w:t>
            </w:r>
            <w:r>
              <w:rPr>
                <w:rFonts w:asciiTheme="minorHAnsi" w:hAnsiTheme="minorHAnsi"/>
                <w:b/>
                <w:spacing w:val="-2"/>
              </w:rP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147DFC94" w14:textId="77777777"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41FF169E" w14:textId="77777777">
            <w:pPr>
              <w:pStyle w:val="688"/>
              <w:pBdr/>
              <w:spacing w:line="240" w:lineRule="exact"/>
              <w:ind w:left="85"/>
              <w:rPr/>
            </w:pPr>
            <w:r>
              <w:rPr>
                <w:rFonts w:cstheme="minorHAnsi"/>
                <w:u w:val="single"/>
              </w:rPr>
              <w:t xml:space="preserve">CONFORMITE</w:t>
            </w:r>
            <w:r>
              <w:rPr>
                <w:rFonts w:cstheme="minorHAnsi"/>
                <w:spacing w:val="-11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 xml:space="preserve">:</w:t>
            </w:r>
            <w:r>
              <w:t xml:space="preserve"> </w:t>
            </w:r>
            <w:r>
              <w:t xml:space="preserve">je</w:t>
            </w:r>
            <w:r>
              <w:rPr>
                <w:spacing w:val="-6"/>
              </w:rPr>
              <w:t xml:space="preserve"> </w:t>
            </w:r>
            <w:r>
              <w:t xml:space="preserve">maitrise</w:t>
            </w:r>
            <w:r>
              <w:rPr>
                <w:spacing w:val="-5"/>
              </w:rPr>
              <w:t xml:space="preserve"> </w:t>
            </w:r>
            <w:r>
              <w:t xml:space="preserve">la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 xml:space="preserve">langue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française</w:t>
            </w:r>
            <w:r>
              <w:rPr>
                <w:b/>
                <w:spacing w:val="-4"/>
              </w:rPr>
              <w:t xml:space="preserve"> </w:t>
            </w:r>
            <w:r>
              <w:t xml:space="preserve">(orthographe,</w:t>
            </w:r>
            <w:r>
              <w:rPr>
                <w:spacing w:val="-6"/>
              </w:rPr>
              <w:t xml:space="preserve"> </w:t>
            </w:r>
            <w:r>
              <w:t xml:space="preserve">syntaxe,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grammaire).</w:t>
            </w:r>
            <w:r/>
          </w:p>
          <w:p w14:paraId="72138BC1" w14:textId="77777777">
            <w:pPr>
              <w:pBdr/>
              <w:spacing w:after="0"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72E55B94" w14:textId="77777777"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</w:tbl>
    <w:p w14:paraId="3F30994D" w14:textId="77777777">
      <w:pPr>
        <w:pBdr/>
        <w:spacing/>
        <w:ind/>
        <w:rPr>
          <w:color w:val="ff0000"/>
        </w:rPr>
      </w:pPr>
      <w:r>
        <w:rPr>
          <w:color w:val="ff0000"/>
        </w:rPr>
      </w:r>
      <w:r>
        <w:rPr>
          <w:color w:val="ff0000"/>
        </w:rPr>
      </w:r>
    </w:p>
    <w:sectPr>
      <w:footnotePr/>
      <w:endnotePr/>
      <w:type w:val="nextPage"/>
      <w:pgSz w:h="16838" w:orient="portrait" w:w="11906"/>
      <w:pgMar w:top="720" w:right="720" w:bottom="720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A704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30BD016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382C2AA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EastAsia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3E753F1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4B861B73"/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Theme="minorHAnsi" w:cstheme="maj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4F605AD2"/>
    <w:lvl w:ilvl="0">
      <w:isLgl w:val="false"/>
      <w:lvlJc w:val="left"/>
      <w:lvlText w:val="-"/>
      <w:numFmt w:val="bullet"/>
      <w:pPr>
        <w:pBdr/>
        <w:spacing/>
        <w:ind w:hanging="360" w:left="805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88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577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65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54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3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31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20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908"/>
      </w:pPr>
      <w:rPr>
        <w:rFonts w:hint="default"/>
        <w:lang w:val="fr-FR" w:eastAsia="en-US" w:bidi="ar-SA"/>
      </w:rPr>
      <w:start w:val="0"/>
      <w:suff w:val="tab"/>
    </w:lvl>
  </w:abstractNum>
  <w:abstractNum w:abstractNumId="6">
    <w:nsid w:val="628E39D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7448347E"/>
    <w:lvl w:ilvl="0">
      <w:isLgl w:val="false"/>
      <w:lvlJc w:val="left"/>
      <w:lvlText w:val="-"/>
      <w:numFmt w:val="bullet"/>
      <w:pPr>
        <w:pBdr/>
        <w:spacing/>
        <w:ind w:hanging="360" w:left="805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88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577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65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54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3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31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20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908"/>
      </w:pPr>
      <w:rPr>
        <w:rFonts w:hint="default"/>
        <w:lang w:val="fr-FR" w:eastAsia="en-US" w:bidi="ar-SA"/>
      </w:rPr>
      <w:start w:val="0"/>
      <w:suff w:val="tab"/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80"/>
    <w:next w:val="680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80"/>
    <w:next w:val="68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0"/>
    <w:next w:val="680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0"/>
    <w:next w:val="68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0"/>
    <w:next w:val="68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0"/>
    <w:next w:val="68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0"/>
    <w:next w:val="68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0"/>
    <w:next w:val="68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0"/>
    <w:next w:val="68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8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8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81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81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81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81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8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8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8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0"/>
    <w:next w:val="68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81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0"/>
    <w:next w:val="68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81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0"/>
    <w:next w:val="68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8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8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0"/>
    <w:next w:val="68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8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8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6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8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1"/>
    <w:link w:val="176"/>
    <w:uiPriority w:val="99"/>
    <w:pPr>
      <w:pBdr/>
      <w:spacing/>
      <w:ind/>
    </w:pPr>
  </w:style>
  <w:style w:type="paragraph" w:styleId="178">
    <w:name w:val="Footer"/>
    <w:basedOn w:val="68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1"/>
    <w:link w:val="178"/>
    <w:uiPriority w:val="99"/>
    <w:pPr>
      <w:pBdr/>
      <w:spacing/>
      <w:ind/>
    </w:pPr>
  </w:style>
  <w:style w:type="paragraph" w:styleId="180">
    <w:name w:val="Caption"/>
    <w:basedOn w:val="680"/>
    <w:next w:val="6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8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0"/>
    <w:next w:val="680"/>
    <w:uiPriority w:val="39"/>
    <w:unhideWhenUsed/>
    <w:pPr>
      <w:pBdr/>
      <w:spacing w:after="100"/>
      <w:ind/>
    </w:pPr>
  </w:style>
  <w:style w:type="paragraph" w:styleId="190">
    <w:name w:val="toc 2"/>
    <w:basedOn w:val="680"/>
    <w:next w:val="680"/>
    <w:uiPriority w:val="39"/>
    <w:unhideWhenUsed/>
    <w:pPr>
      <w:pBdr/>
      <w:spacing w:after="100"/>
      <w:ind w:left="220"/>
    </w:pPr>
  </w:style>
  <w:style w:type="paragraph" w:styleId="191">
    <w:name w:val="toc 3"/>
    <w:basedOn w:val="680"/>
    <w:next w:val="680"/>
    <w:uiPriority w:val="39"/>
    <w:unhideWhenUsed/>
    <w:pPr>
      <w:pBdr/>
      <w:spacing w:after="100"/>
      <w:ind w:left="440"/>
    </w:pPr>
  </w:style>
  <w:style w:type="paragraph" w:styleId="192">
    <w:name w:val="toc 4"/>
    <w:basedOn w:val="680"/>
    <w:next w:val="680"/>
    <w:uiPriority w:val="39"/>
    <w:unhideWhenUsed/>
    <w:pPr>
      <w:pBdr/>
      <w:spacing w:after="100"/>
      <w:ind w:left="660"/>
    </w:pPr>
  </w:style>
  <w:style w:type="paragraph" w:styleId="193">
    <w:name w:val="toc 5"/>
    <w:basedOn w:val="680"/>
    <w:next w:val="680"/>
    <w:uiPriority w:val="39"/>
    <w:unhideWhenUsed/>
    <w:pPr>
      <w:pBdr/>
      <w:spacing w:after="100"/>
      <w:ind w:left="880"/>
    </w:pPr>
  </w:style>
  <w:style w:type="paragraph" w:styleId="194">
    <w:name w:val="toc 6"/>
    <w:basedOn w:val="680"/>
    <w:next w:val="680"/>
    <w:uiPriority w:val="39"/>
    <w:unhideWhenUsed/>
    <w:pPr>
      <w:pBdr/>
      <w:spacing w:after="100"/>
      <w:ind w:left="1100"/>
    </w:pPr>
  </w:style>
  <w:style w:type="paragraph" w:styleId="195">
    <w:name w:val="toc 7"/>
    <w:basedOn w:val="680"/>
    <w:next w:val="680"/>
    <w:uiPriority w:val="39"/>
    <w:unhideWhenUsed/>
    <w:pPr>
      <w:pBdr/>
      <w:spacing w:after="100"/>
      <w:ind w:left="1320"/>
    </w:pPr>
  </w:style>
  <w:style w:type="paragraph" w:styleId="196">
    <w:name w:val="toc 8"/>
    <w:basedOn w:val="680"/>
    <w:next w:val="680"/>
    <w:uiPriority w:val="39"/>
    <w:unhideWhenUsed/>
    <w:pPr>
      <w:pBdr/>
      <w:spacing w:after="100"/>
      <w:ind w:left="1540"/>
    </w:pPr>
  </w:style>
  <w:style w:type="paragraph" w:styleId="197">
    <w:name w:val="toc 9"/>
    <w:basedOn w:val="680"/>
    <w:next w:val="68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0"/>
    <w:next w:val="680"/>
    <w:uiPriority w:val="99"/>
    <w:unhideWhenUsed/>
    <w:pPr>
      <w:pBdr/>
      <w:spacing w:after="0" w:afterAutospacing="0"/>
      <w:ind/>
    </w:pPr>
  </w:style>
  <w:style w:type="paragraph" w:styleId="680" w:default="1">
    <w:name w:val="Normal"/>
    <w:qFormat/>
    <w:pPr>
      <w:pBdr/>
      <w:spacing/>
      <w:ind/>
    </w:pPr>
  </w:style>
  <w:style w:type="character" w:styleId="681" w:default="1">
    <w:name w:val="Default Paragraph Font"/>
    <w:uiPriority w:val="1"/>
    <w:semiHidden/>
    <w:unhideWhenUsed/>
    <w:pPr>
      <w:pBdr/>
      <w:spacing/>
      <w:ind/>
    </w:pPr>
  </w:style>
  <w:style w:type="table" w:styleId="68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3" w:default="1">
    <w:name w:val="No List"/>
    <w:uiPriority w:val="99"/>
    <w:semiHidden/>
    <w:unhideWhenUsed/>
    <w:pPr>
      <w:pBdr/>
      <w:spacing/>
      <w:ind/>
    </w:pPr>
  </w:style>
  <w:style w:type="paragraph" w:styleId="684">
    <w:name w:val="List Paragraph"/>
    <w:basedOn w:val="680"/>
    <w:uiPriority w:val="34"/>
    <w:qFormat/>
    <w:pPr>
      <w:pBdr/>
      <w:spacing/>
      <w:ind w:left="720"/>
      <w:contextualSpacing w:val="true"/>
    </w:pPr>
  </w:style>
  <w:style w:type="character" w:styleId="685">
    <w:name w:val="Hyperlink"/>
    <w:basedOn w:val="68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686">
    <w:name w:val="Unresolved Mention"/>
    <w:basedOn w:val="681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687">
    <w:name w:val="No Spacing"/>
    <w:uiPriority w:val="1"/>
    <w:qFormat/>
    <w:pPr>
      <w:pBdr/>
      <w:spacing w:after="0" w:line="240" w:lineRule="auto"/>
      <w:ind/>
    </w:pPr>
  </w:style>
  <w:style w:type="paragraph" w:styleId="688" w:customStyle="1">
    <w:name w:val="Table Paragraph"/>
    <w:basedOn w:val="680"/>
    <w:uiPriority w:val="1"/>
    <w:qFormat/>
    <w:pPr>
      <w:widowControl w:val="false"/>
      <w:pBdr/>
      <w:spacing w:after="0" w:line="240" w:lineRule="auto"/>
      <w:ind/>
    </w:pPr>
    <w:rPr>
      <w:rFonts w:ascii="Calibri" w:hAnsi="Calibri" w:eastAsia="Calibri" w:cs="Calibri"/>
    </w:rPr>
  </w:style>
  <w:style w:type="table" w:styleId="689">
    <w:name w:val="Table Grid"/>
    <w:basedOn w:val="682"/>
    <w:uiPriority w:val="59"/>
    <w:pPr>
      <w:pBdr/>
      <w:spacing w:after="0" w:line="240" w:lineRule="auto"/>
      <w:ind/>
    </w:pPr>
    <w:rPr>
      <w:rFonts w:eastAsiaTheme="minorEastAsia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0">
    <w:name w:val="annotation reference"/>
    <w:basedOn w:val="681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691">
    <w:name w:val="annotation text"/>
    <w:basedOn w:val="680"/>
    <w:link w:val="692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692" w:customStyle="1">
    <w:name w:val="Commentaire Car"/>
    <w:basedOn w:val="681"/>
    <w:link w:val="691"/>
    <w:uiPriority w:val="99"/>
    <w:semiHidden/>
    <w:pPr>
      <w:pBdr/>
      <w:spacing/>
      <w:ind/>
    </w:pPr>
    <w:rPr>
      <w:sz w:val="20"/>
      <w:szCs w:val="20"/>
    </w:rPr>
  </w:style>
  <w:style w:type="paragraph" w:styleId="693">
    <w:name w:val="annotation subject"/>
    <w:basedOn w:val="691"/>
    <w:next w:val="691"/>
    <w:link w:val="694"/>
    <w:uiPriority w:val="99"/>
    <w:semiHidden/>
    <w:unhideWhenUsed/>
    <w:pPr>
      <w:pBdr/>
      <w:spacing/>
      <w:ind/>
    </w:pPr>
    <w:rPr>
      <w:b/>
      <w:bCs/>
    </w:rPr>
  </w:style>
  <w:style w:type="character" w:styleId="694" w:customStyle="1">
    <w:name w:val="Objet du commentaire Car"/>
    <w:basedOn w:val="692"/>
    <w:link w:val="693"/>
    <w:uiPriority w:val="99"/>
    <w:semiHidden/>
    <w:pPr>
      <w:pBdr/>
      <w:spacing/>
      <w:ind/>
    </w:pPr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Marion SALAH</cp:lastModifiedBy>
  <cp:revision>12</cp:revision>
  <dcterms:created xsi:type="dcterms:W3CDTF">2026-04-03T13:24:00Z</dcterms:created>
  <dcterms:modified xsi:type="dcterms:W3CDTF">2026-06-29T12:46:32Z</dcterms:modified>
</cp:coreProperties>
</file>