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03A8226" w14:textId="77777777">
      <w:pPr>
        <w:pBdr/>
        <w:spacing/>
        <w:ind/>
        <w:jc w:val="center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 xml:space="preserve">Crise biologique</w:t>
      </w:r>
      <w:r>
        <w:rPr>
          <w:rFonts w:ascii="Arial" w:hAnsi="Arial"/>
          <w:b/>
          <w:bCs/>
          <w:sz w:val="22"/>
          <w:szCs w:val="22"/>
          <w:u w:val="single"/>
        </w:rPr>
        <w:t xml:space="preserve"> (1)</w:t>
      </w:r>
      <w:r>
        <w:rPr>
          <w:rFonts w:ascii="Arial" w:hAnsi="Arial"/>
          <w:b/>
          <w:bCs/>
          <w:sz w:val="22"/>
          <w:szCs w:val="22"/>
          <w:u w:val="single"/>
        </w:rPr>
      </w:r>
      <w:r>
        <w:rPr>
          <w:rFonts w:ascii="Arial" w:hAnsi="Arial"/>
          <w:b/>
          <w:bCs/>
          <w:sz w:val="22"/>
          <w:szCs w:val="22"/>
          <w:u w:val="single"/>
        </w:rPr>
      </w:r>
    </w:p>
    <w:p w14:paraId="5E4059A2" w14:textId="77777777">
      <w:pPr>
        <w:pBdr/>
        <w:spacing/>
        <w:ind/>
        <w:jc w:val="center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</w:r>
      <w:r>
        <w:rPr>
          <w:rFonts w:ascii="Arial" w:hAnsi="Arial"/>
          <w:b/>
          <w:bCs/>
          <w:u w:val="single"/>
        </w:rPr>
      </w:r>
      <w:r>
        <w:rPr>
          <w:rFonts w:ascii="Arial" w:hAnsi="Arial"/>
          <w:b/>
          <w:bCs/>
          <w:u w:val="single"/>
        </w:rPr>
      </w:r>
    </w:p>
    <w:p w14:paraId="3C2EEB80" w14:textId="77777777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00b0f0"/>
          <w:sz w:val="22"/>
          <w:szCs w:val="22"/>
        </w:rPr>
        <w:t xml:space="preserve">Niveau de classe </w:t>
      </w:r>
      <w:r>
        <w:rPr>
          <w:rFonts w:ascii="Calibri" w:hAnsi="Calibri" w:cs="Calibri"/>
          <w:sz w:val="22"/>
          <w:szCs w:val="22"/>
        </w:rPr>
        <w:t xml:space="preserve">:  Seconde 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6F0D5A99" w14:textId="77777777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00b0f0"/>
          <w:sz w:val="22"/>
          <w:szCs w:val="22"/>
        </w:rPr>
        <w:t xml:space="preserve">Notion du BO travaillée</w:t>
      </w:r>
      <w:r>
        <w:rPr>
          <w:rFonts w:ascii="Calibri" w:hAnsi="Calibri" w:cs="Calibri"/>
          <w:color w:val="00b0f0"/>
          <w:sz w:val="22"/>
          <w:szCs w:val="22"/>
        </w:rPr>
        <w:t xml:space="preserve"> </w:t>
      </w:r>
      <w:r>
        <w:rPr>
          <w:rFonts w:ascii="Calibri" w:hAnsi="Calibri" w:cs="Calibri"/>
          <w:sz w:val="22"/>
          <w:szCs w:val="22"/>
        </w:rPr>
        <w:t xml:space="preserve">qui s’inscrit dans « La Terre, la vie et l’organisation du vivant » &gt;&gt; « évolution de la biodiversité » :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6E599C43" w14:textId="77777777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7ECC99C4" w14:textId="77777777">
      <w:pPr>
        <w:pBdr/>
        <w:spacing/>
        <w:ind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biodiversité change au cours du temps La biodiversité évolue en permanence. Cette évolution est observable sur de courtes échelles de temps, tant au niveau génétique que spécifique</w:t>
      </w:r>
      <w:r>
        <w:rPr>
          <w:rFonts w:ascii="Calibri" w:hAnsi="Calibri" w:cs="Calibri"/>
          <w:color w:val="ff0000"/>
          <w:sz w:val="22"/>
          <w:szCs w:val="22"/>
        </w:rPr>
        <w:t xml:space="preserve">.</w:t>
      </w:r>
      <w:r>
        <w:rPr>
          <w:rFonts w:ascii="Calibri" w:hAnsi="Calibri" w:cs="Calibri"/>
          <w:color w:val="ff0000"/>
          <w:sz w:val="22"/>
          <w:szCs w:val="22"/>
        </w:rPr>
      </w:r>
      <w:r>
        <w:rPr>
          <w:rFonts w:ascii="Calibri" w:hAnsi="Calibri" w:cs="Calibri"/>
          <w:color w:val="ff0000"/>
          <w:sz w:val="22"/>
          <w:szCs w:val="22"/>
        </w:rPr>
      </w:r>
    </w:p>
    <w:p w14:paraId="0A33F5E8" w14:textId="77777777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066D88F2" w14:textId="77777777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Notions fondamentales : 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332B6037" w14:textId="77777777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2216EF94" w14:textId="77777777">
      <w:pPr>
        <w:pStyle w:val="901"/>
        <w:numPr>
          <w:ilvl w:val="0"/>
          <w:numId w:val="3"/>
        </w:numPr>
        <w:pBdr/>
        <w:spacing w:after="0"/>
        <w:ind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L’activité vise l’étude d’une crise biologique</w:t>
      </w:r>
      <w:r>
        <w:rPr>
          <w:rFonts w:ascii="Calibri" w:hAnsi="Calibri" w:cs="Calibri"/>
          <w:b/>
          <w:sz w:val="22"/>
          <w:szCs w:val="22"/>
        </w:rPr>
      </w:r>
      <w:r>
        <w:rPr>
          <w:rFonts w:ascii="Calibri" w:hAnsi="Calibri" w:cs="Calibri"/>
          <w:b/>
          <w:sz w:val="22"/>
          <w:szCs w:val="22"/>
        </w:rPr>
      </w:r>
    </w:p>
    <w:p w14:paraId="64F1D32F" w14:textId="77777777">
      <w:pPr>
        <w:pStyle w:val="901"/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2C3FAAC9" w14:textId="4014BC26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00b0f0"/>
          <w:sz w:val="22"/>
          <w:szCs w:val="22"/>
        </w:rPr>
        <w:t xml:space="preserve">Compétence travaillée dans l’activité</w:t>
      </w:r>
      <w:r>
        <w:rPr>
          <w:rFonts w:ascii="Calibri" w:hAnsi="Calibri" w:cs="Calibri"/>
          <w:color w:val="00b0f0"/>
          <w:sz w:val="22"/>
          <w:szCs w:val="22"/>
        </w:rPr>
        <w:t xml:space="preserve"> </w:t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 xml:space="preserve">Argumenter scien</w:t>
      </w:r>
      <w:r>
        <w:rPr>
          <w:rFonts w:ascii="Calibri" w:hAnsi="Calibri" w:cs="Calibri"/>
          <w:sz w:val="22"/>
          <w:szCs w:val="22"/>
        </w:rPr>
        <w:t xml:space="preserve">tifiquement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2187AC66" w14:textId="77777777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6CED948D" w14:textId="696FAC66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00b0f0"/>
          <w:sz w:val="22"/>
          <w:szCs w:val="22"/>
        </w:rPr>
        <w:t xml:space="preserve">Contexte de l’activité</w:t>
      </w:r>
      <w:r>
        <w:rPr>
          <w:rFonts w:ascii="Calibri" w:hAnsi="Calibri" w:cs="Calibri"/>
          <w:color w:val="00b0f0"/>
          <w:sz w:val="22"/>
          <w:szCs w:val="22"/>
        </w:rPr>
        <w:t xml:space="preserve"> </w:t>
      </w:r>
      <w:r>
        <w:rPr>
          <w:rFonts w:ascii="Calibri" w:hAnsi="Calibri" w:cs="Calibri"/>
          <w:sz w:val="22"/>
          <w:szCs w:val="22"/>
        </w:rPr>
        <w:t xml:space="preserve">: Cette activité peut s’intégrer à une séquence pour construire les notions visées. 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63347DC1" w14:textId="77777777">
      <w:pPr>
        <w:pBdr/>
        <w:spacing/>
        <w:ind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</w:r>
      <w:r>
        <w:rPr>
          <w:rFonts w:ascii="Calibri" w:hAnsi="Calibri" w:cs="Calibri"/>
          <w:b/>
          <w:bCs/>
          <w:sz w:val="22"/>
          <w:szCs w:val="22"/>
          <w:u w:val="single"/>
        </w:rPr>
      </w:r>
      <w:r>
        <w:rPr>
          <w:rFonts w:ascii="Calibri" w:hAnsi="Calibri" w:cs="Calibri"/>
          <w:b/>
          <w:bCs/>
          <w:sz w:val="22"/>
          <w:szCs w:val="22"/>
          <w:u w:val="single"/>
        </w:rPr>
      </w:r>
    </w:p>
    <w:p w14:paraId="0906673D" w14:textId="77777777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00b0f0"/>
          <w:sz w:val="22"/>
          <w:szCs w:val="22"/>
        </w:rPr>
        <w:t xml:space="preserve">Contenu de l’activité </w:t>
      </w:r>
      <w:r>
        <w:rPr>
          <w:rFonts w:ascii="Calibri" w:hAnsi="Calibri" w:cs="Calibri"/>
          <w:sz w:val="22"/>
          <w:szCs w:val="22"/>
        </w:rPr>
        <w:t xml:space="preserve">: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7401F1E3" w14:textId="77777777"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424AC99F" w14:textId="5E75CA72">
      <w:pPr>
        <w:pBdr/>
        <w:shd w:val="clear" w:color="auto" w:fill="ffffff" w:themeFill="background2"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  <w:u w:val="single"/>
        </w:rPr>
        <w:t xml:space="preserve">Consigne :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A partir de l’observation de microfossiles marins, </w:t>
      </w:r>
      <w:r>
        <w:rPr>
          <w:rFonts w:ascii="Calibri" w:hAnsi="Calibri" w:cs="Calibri"/>
          <w:b/>
          <w:bCs/>
          <w:sz w:val="22"/>
          <w:szCs w:val="22"/>
        </w:rPr>
        <w:t xml:space="preserve">proposer deux arguments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montrant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que la crise biologique entre le 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Maastritchien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et le Danien provoque une modification de la biodiversité au niveau des océans</w:t>
      </w:r>
      <w:r>
        <w:rPr>
          <w:rFonts w:ascii="Calibri" w:hAnsi="Calibri" w:cs="Calibri"/>
          <w:b/>
          <w:bCs/>
          <w:sz w:val="22"/>
          <w:szCs w:val="22"/>
        </w:rPr>
        <w:t xml:space="preserve">.</w:t>
      </w:r>
      <w:r>
        <w:rPr>
          <w:rFonts w:ascii="Calibri" w:hAnsi="Calibri" w:cs="Calibri"/>
          <w:b/>
          <w:bCs/>
          <w:sz w:val="22"/>
          <w:szCs w:val="22"/>
        </w:rPr>
      </w:r>
      <w:r>
        <w:rPr>
          <w:rFonts w:ascii="Calibri" w:hAnsi="Calibri" w:cs="Calibri"/>
          <w:b/>
          <w:bCs/>
          <w:sz w:val="22"/>
          <w:szCs w:val="22"/>
        </w:rPr>
      </w:r>
    </w:p>
    <w:p w14:paraId="6C10561C">
      <w:pPr>
        <w:pStyle w:val="896"/>
        <w:pBdr/>
        <w:spacing w:before="52"/>
        <w:ind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highlight w:val="none"/>
          <w:u w:val="single"/>
        </w:rPr>
      </w:r>
      <w:r>
        <w:rPr>
          <w:rFonts w:ascii="Calibri" w:hAnsi="Calibri" w:cs="Calibri"/>
          <w:b/>
          <w:bCs/>
          <w:sz w:val="22"/>
          <w:szCs w:val="22"/>
          <w:u w:val="single"/>
        </w:rPr>
      </w:r>
      <w:r>
        <w:rPr>
          <w:rFonts w:ascii="Calibri" w:hAnsi="Calibri" w:cs="Calibri"/>
          <w:b/>
          <w:bCs/>
          <w:sz w:val="22"/>
          <w:szCs w:val="22"/>
          <w:u w:val="single"/>
        </w:rPr>
      </w:r>
    </w:p>
    <w:p w14:paraId="522EE1F4">
      <w:pPr>
        <w:pStyle w:val="896"/>
        <w:pBdr/>
        <w:spacing w:before="52"/>
        <w:ind/>
        <w:jc w:val="both"/>
        <w:rPr>
          <w:rFonts w:ascii="Calibri" w:hAnsi="Calibri" w:cs="Calibri"/>
          <w:b/>
          <w:bCs/>
          <w:sz w:val="22"/>
          <w:szCs w:val="22"/>
          <w:highlight w:val="none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Document 1 : Définition d’une crise biologique</w:t>
      </w:r>
      <w:r>
        <w:rPr>
          <w:rFonts w:ascii="Calibri" w:hAnsi="Calibri" w:cs="Calibri"/>
          <w:b/>
          <w:bCs/>
          <w:sz w:val="22"/>
          <w:szCs w:val="22"/>
          <w:highlight w:val="none"/>
          <w:u w:val="single"/>
        </w:rPr>
      </w:r>
      <w:r>
        <w:rPr>
          <w:rFonts w:ascii="Calibri" w:hAnsi="Calibri" w:cs="Calibri"/>
          <w:b/>
          <w:bCs/>
          <w:sz w:val="22"/>
          <w:szCs w:val="22"/>
          <w:highlight w:val="none"/>
          <w:u w:val="single"/>
        </w:rPr>
      </w:r>
    </w:p>
    <w:p w14:paraId="2C85C7FF">
      <w:pPr>
        <w:pStyle w:val="896"/>
        <w:pBdr/>
        <w:spacing w:before="52"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Une </w:t>
      </w:r>
      <w:r>
        <w:rPr>
          <w:rFonts w:ascii="Calibri" w:hAnsi="Calibri" w:cs="Calibri"/>
          <w:b/>
          <w:bCs/>
          <w:sz w:val="22"/>
          <w:szCs w:val="22"/>
        </w:rPr>
        <w:t xml:space="preserve">crise biologique</w:t>
      </w:r>
      <w:r>
        <w:rPr>
          <w:rFonts w:ascii="Calibri" w:hAnsi="Calibri" w:cs="Calibri"/>
          <w:sz w:val="22"/>
          <w:szCs w:val="22"/>
        </w:rPr>
        <w:t xml:space="preserve"> (ou extinction de masse) correspond à une période brève à l’échelle géologique duran</w:t>
      </w:r>
      <w:r>
        <w:rPr>
          <w:rFonts w:ascii="Calibri" w:hAnsi="Calibri" w:cs="Calibri"/>
          <w:sz w:val="22"/>
          <w:szCs w:val="22"/>
        </w:rPr>
        <w:t xml:space="preserve">t laquelle une grande proportion des espèces (souvent &gt; 60 %) disparaît à l’échelle mondiale, affectant divers groupes d’organismes et milieux. Ces événements sont identifiés grâce à l’étude des fossiles, qui révèlent des chutes rapides de la biodiversité.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56C12EF9">
      <w:pPr>
        <w:pStyle w:val="896"/>
        <w:pBdr/>
        <w:spacing w:before="52"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Ces extinctions provoquent un déséquilibre des écosystèmes, mais libèrent également de nombreuses </w:t>
      </w:r>
      <w:r>
        <w:rPr>
          <w:rFonts w:ascii="Calibri" w:hAnsi="Calibri" w:cs="Calibri"/>
          <w:b/>
          <w:bCs/>
          <w:sz w:val="22"/>
          <w:szCs w:val="22"/>
        </w:rPr>
        <w:t xml:space="preserve">niches écologiques</w:t>
      </w:r>
      <w:r>
        <w:rPr>
          <w:rFonts w:ascii="Calibri" w:hAnsi="Calibri" w:cs="Calibri"/>
          <w:sz w:val="22"/>
          <w:szCs w:val="22"/>
        </w:rPr>
        <w:t xml:space="preserve">. Les espèces survivantes peuvent alors s’y développer et se diversifier.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6A0D5581">
      <w:pPr>
        <w:pStyle w:val="896"/>
        <w:pBdr/>
        <w:spacing w:before="52"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Les crises biologiques sont généralement suivies d’une </w:t>
      </w:r>
      <w:r>
        <w:rPr>
          <w:rFonts w:ascii="Calibri" w:hAnsi="Calibri" w:cs="Calibri"/>
          <w:b/>
          <w:bCs/>
          <w:sz w:val="22"/>
          <w:szCs w:val="22"/>
        </w:rPr>
        <w:t xml:space="preserve">radiation évolutive</w:t>
      </w:r>
      <w:r>
        <w:rPr>
          <w:rFonts w:ascii="Calibri" w:hAnsi="Calibri" w:cs="Calibri"/>
          <w:sz w:val="22"/>
          <w:szCs w:val="22"/>
        </w:rPr>
        <w:t xml:space="preserve">, c’est-à-dire une augmentation rapide du nombre d’espèces, conduisant à la reconstitution et au renouvellement de la biodiversité.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03EBF1E3" w14:textId="4A25ACD5">
      <w:pPr>
        <w:pBdr/>
        <w:shd w:val="clear" w:color="auto" w:fill="ffffff" w:themeFill="background2"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0046A84C" w14:textId="1184BAEB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Document 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2 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quelques</w:t>
      </w:r>
      <w:r>
        <w:rPr>
          <w:rFonts w:ascii="Calibri" w:hAnsi="Calibri" w:cs="Calibri"/>
          <w:b/>
          <w:bCs/>
          <w:sz w:val="22"/>
          <w:szCs w:val="22"/>
        </w:rPr>
        <w:t xml:space="preserve"> foraminifères</w:t>
      </w:r>
      <w:r>
        <w:rPr>
          <w:rFonts w:ascii="Calibri" w:hAnsi="Calibri" w:cs="Calibri"/>
          <w:b/>
          <w:bCs/>
          <w:sz w:val="22"/>
          <w:szCs w:val="22"/>
        </w:rPr>
        <w:t xml:space="preserve"> marins</w:t>
      </w:r>
      <w:r>
        <w:rPr>
          <w:rFonts w:ascii="Calibri" w:hAnsi="Calibri" w:cs="Calibri"/>
          <w:b/>
          <w:bCs/>
          <w:sz w:val="22"/>
          <w:szCs w:val="22"/>
        </w:rPr>
        <w:t xml:space="preserve"> de la période géologique étudié</w:t>
      </w:r>
      <w:r>
        <w:rPr>
          <w:rFonts w:ascii="Calibri" w:hAnsi="Calibri" w:cs="Calibri"/>
          <w:b/>
          <w:bCs/>
          <w:sz w:val="22"/>
          <w:szCs w:val="22"/>
        </w:rPr>
      </w:r>
      <w:r>
        <w:rPr>
          <w:rFonts w:ascii="Calibri" w:hAnsi="Calibri" w:cs="Calibri"/>
          <w:b/>
          <w:bCs/>
          <w:sz w:val="22"/>
          <w:szCs w:val="22"/>
        </w:rPr>
      </w:r>
    </w:p>
    <w:p w14:paraId="31B3247B" w14:textId="77777777"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tbl>
      <w:tblPr>
        <w:tblStyle w:val="90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761"/>
        <w:gridCol w:w="2046"/>
        <w:gridCol w:w="1813"/>
        <w:gridCol w:w="1926"/>
      </w:tblGrid>
      <w:tr>
        <w:trPr/>
        <w:tc>
          <w:tcPr>
            <w:tcBorders/>
            <w:tcW w:w="5098" w:type="dxa"/>
          </w:tcPr>
          <w:p w14:paraId="7180F32A" w14:textId="77777777">
            <w:pPr>
              <w:pBdr/>
              <w:spacing/>
              <w:ind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Les foraminifères sont des organismes unicellulaires très répandus dans les milieux marins. De petites tailles (de 10 µm à quelques millimètres), ils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sont logés dans une coquille calcaire. Chaque espèce de foraminifère vit dans des conditions de température et de salinité précises. À leur mort, les coquilles s’accumulent dans les sédiments marins, sont fossilisés et peuvent ainsi perdurer dans le temps.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  <w:tc>
          <w:tcPr>
            <w:tcBorders/>
            <w:tcW w:w="1810" w:type="dxa"/>
          </w:tcPr>
          <w:p w14:paraId="7AFD96BA" w14:textId="77777777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62666" cy="1152000"/>
                      <wp:effectExtent l="0" t="0" r="0" b="0"/>
                      <wp:docPr id="1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9"/>
                              <a:srcRect l="5095" t="19301" r="73946" b="5448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62665" cy="1152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91.55pt;height:90.71pt;mso-wrap-distance-left:0.00pt;mso-wrap-distance-top:0.00pt;mso-wrap-distance-right:0.00pt;mso-wrap-distance-bottom:0.00pt;z-index:1;" stroked="f">
                      <v:imagedata r:id="rId9" o:title="" croptop="12649f" cropleft="3339f" cropbottom="35705f" cropright="48461f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  <w:p w14:paraId="6D8C632A" w14:textId="77777777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Globotruncana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  <w:p w14:paraId="3DC53D5E" w14:textId="07A7B322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Taille : de 0,25 mm à 1 mm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  <w:tc>
          <w:tcPr>
            <w:tcBorders/>
            <w:tcW w:w="1716" w:type="dxa"/>
          </w:tcPr>
          <w:p w14:paraId="52D00368" w14:textId="77777777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14449" cy="1152000"/>
                      <wp:effectExtent l="0" t="0" r="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9"/>
                              <a:srcRect l="35477" t="14447" r="41833" b="530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14449" cy="1152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79.88pt;height:90.71pt;mso-wrap-distance-left:0.00pt;mso-wrap-distance-top:0.00pt;mso-wrap-distance-right:0.00pt;mso-wrap-distance-bottom:0.00pt;z-index:1;" stroked="f">
                      <v:imagedata r:id="rId9" o:title="" croptop="9468f" cropleft="23250f" cropbottom="34750f" cropright="27416f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  <w:p w14:paraId="111F98D5" w14:textId="77777777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Globigerina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  <w:p w14:paraId="0436D403" w14:textId="77777777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Taille : 0,25 mm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  <w:tc>
          <w:tcPr>
            <w:tcBorders/>
            <w:tcW w:w="1815" w:type="dxa"/>
          </w:tcPr>
          <w:p w14:paraId="46702625" w14:textId="77777777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83661" cy="1152000"/>
                      <wp:effectExtent l="0" t="0" r="2540" b="0"/>
                      <wp:docPr id="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9"/>
                              <a:srcRect l="66050" t="16632" r="12605" b="547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83661" cy="1152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85.33pt;height:90.71pt;mso-wrap-distance-left:0.00pt;mso-wrap-distance-top:0.00pt;mso-wrap-distance-right:0.00pt;mso-wrap-distance-bottom:0.00pt;z-index:1;" stroked="f">
                      <v:imagedata r:id="rId9" o:title="" croptop="10900f" cropleft="43287f" cropbottom="35864f" cropright="8261f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  <w:p w14:paraId="577435FA" w14:textId="77777777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Heterohelix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  <w:p w14:paraId="20479E2D" w14:textId="77777777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Taille : 0,5 mm</w: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</w:tr>
    </w:tbl>
    <w:p w14:paraId="445807CD" w14:textId="77777777">
      <w:pPr>
        <w:pBdr/>
        <w:spacing/>
        <w:ind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p w14:paraId="2BA945D3" w14:textId="38AAC46A">
      <w:pPr>
        <w:pBdr/>
        <w:spacing/>
        <w:ind/>
        <w:jc w:val="right"/>
        <w:rPr>
          <w:rFonts w:ascii="Calibri" w:hAnsi="Calibri" w:cs="Calibri"/>
          <w:sz w:val="18"/>
          <w:szCs w:val="18"/>
          <w:highlight w:val="none"/>
        </w:rPr>
      </w:pPr>
      <w:r>
        <w:rPr>
          <w:rFonts w:ascii="Calibri" w:hAnsi="Calibri" w:cs="Calibri"/>
          <w:sz w:val="18"/>
          <w:szCs w:val="18"/>
        </w:rPr>
        <w:t xml:space="preserve">Source fiche ECE</w:t>
      </w:r>
      <w:r>
        <w:rPr>
          <w:rFonts w:ascii="Calibri" w:hAnsi="Calibri" w:cs="Calibri"/>
          <w:sz w:val="18"/>
          <w:szCs w:val="18"/>
          <w:highlight w:val="none"/>
        </w:rPr>
      </w:r>
      <w:r>
        <w:rPr>
          <w:rFonts w:ascii="Calibri" w:hAnsi="Calibri" w:cs="Calibri"/>
          <w:sz w:val="18"/>
          <w:szCs w:val="18"/>
          <w:highlight w:val="none"/>
        </w:rPr>
      </w:r>
    </w:p>
    <w:p w14:paraId="707E3E69">
      <w:pPr>
        <w:pBdr/>
        <w:shd w:val="nil" w:color="auto"/>
        <w:spacing/>
        <w:ind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br w:type="page" w:clear="all"/>
      </w:r>
      <w:r>
        <w:rPr>
          <w:rFonts w:ascii="Calibri" w:hAnsi="Calibri" w:cs="Calibri"/>
          <w:sz w:val="18"/>
          <w:szCs w:val="18"/>
        </w:rPr>
      </w:r>
      <w:r>
        <w:rPr>
          <w:rFonts w:ascii="Calibri" w:hAnsi="Calibri" w:cs="Calibri"/>
          <w:sz w:val="18"/>
          <w:szCs w:val="18"/>
        </w:rPr>
      </w:r>
    </w:p>
    <w:p w14:paraId="00302FAC" w14:textId="0A3DF79E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Document 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3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P</w:t>
      </w:r>
      <w:r>
        <w:rPr>
          <w:rFonts w:ascii="Calibri" w:hAnsi="Calibri" w:cs="Calibri"/>
          <w:b/>
          <w:bCs/>
          <w:sz w:val="22"/>
          <w:szCs w:val="22"/>
        </w:rPr>
        <w:t xml:space="preserve">rotocole d’observation des foraminifères</w:t>
      </w:r>
      <w:r>
        <w:rPr>
          <w:rFonts w:ascii="Calibri" w:hAnsi="Calibri" w:cs="Calibri"/>
          <w:b/>
          <w:bCs/>
          <w:sz w:val="22"/>
          <w:szCs w:val="22"/>
        </w:rPr>
        <w:t xml:space="preserve">.</w:t>
      </w:r>
      <w:r>
        <w:rPr>
          <w:rFonts w:ascii="Calibri" w:hAnsi="Calibri" w:cs="Calibri"/>
          <w:b/>
          <w:bCs/>
          <w:sz w:val="22"/>
          <w:szCs w:val="22"/>
        </w:rPr>
      </w:r>
      <w:r>
        <w:rPr>
          <w:rFonts w:ascii="Calibri" w:hAnsi="Calibri" w:cs="Calibri"/>
          <w:b/>
          <w:bCs/>
          <w:sz w:val="22"/>
          <w:szCs w:val="22"/>
        </w:rPr>
      </w:r>
    </w:p>
    <w:p w14:paraId="53A1980C" w14:textId="77777777"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7952F7E6" w14:textId="77777777">
      <w:pPr>
        <w:pBdr/>
        <w:spacing w:line="216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L’objectif est de comparer les foraminifères provenant des marnes de deux périodes différentes : le </w:t>
      </w:r>
      <w:r>
        <w:rPr>
          <w:rFonts w:ascii="Calibri" w:hAnsi="Calibri" w:cs="Calibri"/>
          <w:b/>
          <w:bCs/>
          <w:sz w:val="22"/>
          <w:szCs w:val="22"/>
        </w:rPr>
        <w:t xml:space="preserve">Maastrichtien</w:t>
      </w:r>
      <w:r>
        <w:rPr>
          <w:rFonts w:ascii="Calibri" w:hAnsi="Calibri" w:cs="Calibri"/>
          <w:sz w:val="22"/>
          <w:szCs w:val="22"/>
        </w:rPr>
        <w:t xml:space="preserve"> et le </w:t>
      </w:r>
      <w:r>
        <w:rPr>
          <w:rFonts w:ascii="Calibri" w:hAnsi="Calibri" w:cs="Calibri"/>
          <w:b/>
          <w:bCs/>
          <w:sz w:val="22"/>
          <w:szCs w:val="22"/>
        </w:rPr>
        <w:t xml:space="preserve">Danien</w:t>
      </w:r>
      <w:r>
        <w:rPr>
          <w:rFonts w:ascii="Calibri" w:hAnsi="Calibri" w:cs="Calibri"/>
          <w:sz w:val="22"/>
          <w:szCs w:val="22"/>
        </w:rPr>
        <w:t xml:space="preserve">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7EFD1E39" w14:textId="77777777">
      <w:pPr>
        <w:pBdr/>
        <w:spacing w:line="216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Vous devez donc observer les foraminifères présents sur l’échantillon du Maastrichtien qui se trouve dans un des tubes présents sur votre paillasse :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4F7D71A8" w14:textId="77777777">
      <w:pPr>
        <w:pBdr/>
        <w:spacing w:line="216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1A7E2B1A" w14:textId="7EE189BC">
      <w:pPr>
        <w:pStyle w:val="901"/>
        <w:numPr>
          <w:ilvl w:val="0"/>
          <w:numId w:val="1"/>
        </w:numPr>
        <w:pBdr/>
        <w:spacing w:after="0" w:line="216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Mettre</w:t>
      </w:r>
      <w:r>
        <w:rPr>
          <w:rFonts w:ascii="Calibri" w:hAnsi="Calibri" w:cs="Calibri"/>
          <w:sz w:val="22"/>
          <w:szCs w:val="22"/>
        </w:rPr>
        <w:t xml:space="preserve"> l’échantillon</w:t>
      </w:r>
      <w:r>
        <w:rPr>
          <w:rFonts w:ascii="Calibri" w:hAnsi="Calibri" w:cs="Calibri"/>
          <w:sz w:val="22"/>
          <w:szCs w:val="22"/>
        </w:rPr>
        <w:t xml:space="preserve"> du Maastrichtien </w:t>
      </w:r>
      <w:r>
        <w:rPr>
          <w:rFonts w:ascii="Calibri" w:hAnsi="Calibri" w:cs="Calibri"/>
          <w:sz w:val="22"/>
          <w:szCs w:val="22"/>
        </w:rPr>
        <w:t xml:space="preserve">dans la boite de Pétri.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50CEDF98" w14:textId="100FD090">
      <w:pPr>
        <w:pStyle w:val="901"/>
        <w:numPr>
          <w:ilvl w:val="0"/>
          <w:numId w:val="1"/>
        </w:numPr>
        <w:pBdr/>
        <w:spacing w:after="0" w:line="216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Identifier </w:t>
      </w:r>
      <w:r>
        <w:rPr>
          <w:rFonts w:ascii="Calibri" w:hAnsi="Calibri" w:cs="Calibri"/>
          <w:sz w:val="22"/>
          <w:szCs w:val="22"/>
        </w:rPr>
        <w:t xml:space="preserve">à la loupe binoculaire les foraminifères présents</w:t>
      </w:r>
      <w:r>
        <w:rPr>
          <w:rFonts w:ascii="Calibri" w:hAnsi="Calibri" w:cs="Calibri"/>
          <w:sz w:val="22"/>
          <w:szCs w:val="22"/>
        </w:rPr>
        <w:t xml:space="preserve">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5568ED17" w14:textId="77777777">
      <w:pPr>
        <w:pStyle w:val="901"/>
        <w:numPr>
          <w:ilvl w:val="0"/>
          <w:numId w:val="1"/>
        </w:numPr>
        <w:pBdr/>
        <w:spacing w:after="0" w:line="216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Suivre</w:t>
      </w:r>
      <w:r>
        <w:rPr>
          <w:rFonts w:ascii="Calibri" w:hAnsi="Calibri" w:cs="Calibri"/>
          <w:sz w:val="22"/>
          <w:szCs w:val="22"/>
        </w:rPr>
        <w:t xml:space="preserve"> les mêmes étapes avec l’échantillon du Danien.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72FD1725" w14:textId="77777777"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5397EE5D" w14:textId="77777777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</w:r>
      <w:r>
        <w:rPr>
          <w:rFonts w:ascii="Calibri" w:hAnsi="Calibri" w:cs="Calibri"/>
          <w:b/>
          <w:bCs/>
          <w:sz w:val="22"/>
          <w:szCs w:val="22"/>
        </w:rPr>
      </w:r>
      <w:r>
        <w:rPr>
          <w:rFonts w:ascii="Calibri" w:hAnsi="Calibri" w:cs="Calibri"/>
          <w:b/>
          <w:bCs/>
          <w:sz w:val="22"/>
          <w:szCs w:val="22"/>
        </w:rPr>
      </w:r>
    </w:p>
    <w:p w14:paraId="2A0C481D" w14:textId="77777777">
      <w:pPr>
        <w:pBdr/>
        <w:spacing/>
        <w:ind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Argumenter scientifiquement (attendu : une liste d’arguments scientifiques)</w:t>
      </w:r>
      <w:r>
        <w:rPr>
          <w:rFonts w:ascii="Calibri" w:hAnsi="Calibri" w:cs="Calibri"/>
          <w:b/>
          <w:sz w:val="22"/>
          <w:szCs w:val="22"/>
        </w:rPr>
      </w:r>
      <w:r>
        <w:rPr>
          <w:rFonts w:ascii="Calibri" w:hAnsi="Calibri" w:cs="Calibri"/>
          <w:b/>
          <w:sz w:val="22"/>
          <w:szCs w:val="22"/>
        </w:rPr>
      </w:r>
    </w:p>
    <w:tbl>
      <w:tblPr>
        <w:tblInd w:w="-5" w:type="dxa"/>
        <w:tblW w:w="10065" w:type="dxa"/>
        <w:tblCellMar>
          <w:left w:w="70" w:type="dxa"/>
          <w:right w:w="7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624"/>
        <w:gridCol w:w="1441"/>
      </w:tblGrid>
      <w:tr>
        <w:trPr>
          <w:trHeight w:val="392"/>
        </w:trPr>
        <w:tc>
          <w:tcPr>
            <w:shd w:val="clear" w:color="bdd6ee" w:fill="89fc7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3" w:type="dxa"/>
          </w:tcPr>
          <w:p w14:paraId="3437519C" w14:textId="77777777">
            <w:pPr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Je réussis si : 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 w14:paraId="494295AD" w14:textId="77777777">
            <w:pPr>
              <w:pBdr/>
              <w:spacing/>
              <w:ind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+/-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</w:tc>
        <w:tc>
          <w:tcPr>
            <w:shd w:val="clear" w:color="bdd6ee" w:fill="89fc77" w:themeFill="accent1" w:themeFillTint="6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</w:tcPr>
          <w:p w14:paraId="1A74FD0B" w14:textId="77777777">
            <w:pPr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Evaluation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</w:tc>
      </w:tr>
      <w:tr>
        <w:trPr>
          <w:trHeight w:val="3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3" w:type="dxa"/>
          </w:tcPr>
          <w:p w14:paraId="7B5F48E6" w14:textId="77777777">
            <w:pPr>
              <w:pStyle w:val="903"/>
              <w:pBdr/>
              <w:spacing/>
              <w:ind w:left="85"/>
              <w:rPr/>
            </w:pPr>
            <w:r>
              <w:rPr>
                <w:u w:val="single"/>
              </w:rPr>
              <w:t xml:space="preserve">PERTINENCE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 xml:space="preserve">:</w:t>
            </w:r>
            <w:r>
              <w:rPr>
                <w:spacing w:val="-5"/>
              </w:rPr>
              <w:t xml:space="preserve"> </w:t>
            </w:r>
            <w:r>
              <w:t xml:space="preserve">Je sélectionne</w:t>
            </w:r>
            <w:r>
              <w:rPr>
                <w:spacing w:val="-5"/>
              </w:rPr>
              <w:t xml:space="preserve"> </w:t>
            </w:r>
            <w:r>
              <w:t xml:space="preserve">uniquement</w:t>
            </w:r>
            <w:r>
              <w:rPr>
                <w:spacing w:val="-5"/>
              </w:rPr>
              <w:t xml:space="preserve"> </w:t>
            </w:r>
            <w:r>
              <w:t xml:space="preserve">les</w:t>
            </w:r>
            <w:r>
              <w:rPr>
                <w:spacing w:val="-5"/>
              </w:rPr>
              <w:t xml:space="preserve"> </w:t>
            </w:r>
            <w:r>
              <w:t xml:space="preserve">arguments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 xml:space="preserve">utiles</w:t>
            </w:r>
            <w:r>
              <w:rPr>
                <w:b/>
                <w:spacing w:val="-5"/>
              </w:rPr>
              <w:t xml:space="preserve"> </w:t>
            </w:r>
            <w:r>
              <w:t xml:space="preserve">pour</w:t>
            </w:r>
            <w:r>
              <w:rPr>
                <w:spacing w:val="-5"/>
              </w:rPr>
              <w:t xml:space="preserve"> </w:t>
            </w:r>
            <w:r>
              <w:t xml:space="preserve">répondre</w:t>
            </w:r>
            <w:r>
              <w:rPr>
                <w:spacing w:val="-5"/>
              </w:rPr>
              <w:t xml:space="preserve"> </w:t>
            </w:r>
            <w:r>
              <w:t xml:space="preserve">à</w:t>
            </w:r>
            <w:r>
              <w:rPr>
                <w:spacing w:val="-5"/>
              </w:rPr>
              <w:t xml:space="preserve"> </w:t>
            </w:r>
            <w:r>
              <w:t xml:space="preserve">la</w:t>
            </w:r>
            <w:r>
              <w:rPr>
                <w:spacing w:val="-5"/>
              </w:rPr>
              <w:t xml:space="preserve"> </w:t>
            </w:r>
            <w:r>
              <w:t xml:space="preserve">question</w:t>
            </w:r>
            <w:r>
              <w:rPr>
                <w:spacing w:val="-5"/>
              </w:rPr>
              <w:t xml:space="preserve"> </w:t>
            </w:r>
            <w:r>
              <w:t xml:space="preserve">posée.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</w:tcPr>
          <w:p w14:paraId="117C8BD4" w14:textId="77777777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</w:tr>
      <w:tr>
        <w:trPr>
          <w:trHeight w:val="2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3" w:type="dxa"/>
          </w:tcPr>
          <w:p w14:paraId="79370F25" w14:textId="77777777">
            <w:pPr>
              <w:pStyle w:val="903"/>
              <w:pBdr/>
              <w:spacing/>
              <w:ind w:left="85"/>
              <w:rPr>
                <w:u w:val="single"/>
              </w:rPr>
            </w:pPr>
            <w:r>
              <w:rPr>
                <w:u w:val="single"/>
              </w:rPr>
              <w:t xml:space="preserve">COMPLETUDE :</w:t>
            </w:r>
            <w:r>
              <w:t xml:space="preserve"> J’ai identifié le </w:t>
            </w:r>
            <w:r>
              <w:rPr>
                <w:b/>
              </w:rPr>
              <w:t xml:space="preserve">nombre </w:t>
            </w:r>
            <w:r>
              <w:t xml:space="preserve">d’arguments </w:t>
            </w:r>
            <w:r>
              <w:rPr>
                <w:b/>
              </w:rPr>
              <w:t xml:space="preserve">précisé dans la consigne.</w:t>
            </w:r>
            <w:r>
              <w:rPr>
                <w:u w:val="single"/>
              </w:rPr>
            </w:r>
            <w:r>
              <w:rPr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</w:tcPr>
          <w:p w14:paraId="504CFE58" w14:textId="77777777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</w:tr>
      <w:tr>
        <w:trPr>
          <w:trHeight w:val="7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3" w:type="dxa"/>
          </w:tcPr>
          <w:p w14:paraId="374C85BC" w14:textId="77777777">
            <w:pPr>
              <w:pStyle w:val="903"/>
              <w:pBdr/>
              <w:spacing/>
              <w:ind w:left="85"/>
              <w:rPr>
                <w:b/>
              </w:rPr>
            </w:pPr>
            <w:r>
              <w:rPr>
                <w:u w:val="single"/>
              </w:rPr>
              <w:t xml:space="preserve">EXACTITUDE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 xml:space="preserve">:</w:t>
            </w:r>
            <w:r>
              <w:t xml:space="preserve"> Je</w:t>
            </w:r>
            <w:r>
              <w:rPr>
                <w:spacing w:val="-2"/>
              </w:rPr>
              <w:t xml:space="preserve"> </w:t>
            </w:r>
            <w:r>
              <w:t xml:space="preserve">suis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 xml:space="preserve">rigoureux / rigoureuse pour chaque argument :</w:t>
            </w:r>
            <w:r>
              <w:rPr>
                <w:b/>
              </w:rPr>
            </w:r>
            <w:r>
              <w:rPr>
                <w:b/>
              </w:rPr>
            </w:r>
          </w:p>
          <w:p w14:paraId="0DB345E8" w14:textId="77777777">
            <w:pPr>
              <w:pStyle w:val="903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/>
              <w:ind/>
              <w:rPr/>
            </w:pPr>
            <w:r>
              <w:t xml:space="preserve">quantification</w:t>
            </w:r>
            <w:r>
              <w:rPr>
                <w:spacing w:val="-6"/>
              </w:rPr>
              <w:t xml:space="preserve"> </w:t>
            </w:r>
            <w:r>
              <w:t xml:space="preserve">des</w:t>
            </w:r>
            <w:r>
              <w:rPr>
                <w:spacing w:val="-5"/>
              </w:rPr>
              <w:t xml:space="preserve"> </w:t>
            </w:r>
            <w:r>
              <w:t xml:space="preserve">données</w:t>
            </w:r>
            <w:r>
              <w:rPr>
                <w:spacing w:val="-5"/>
              </w:rPr>
              <w:t xml:space="preserve"> </w:t>
            </w:r>
            <w:r>
              <w:t xml:space="preserve">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possible.</w:t>
            </w:r>
            <w:r/>
          </w:p>
          <w:p w14:paraId="318D8922" w14:textId="77777777">
            <w:pPr>
              <w:pStyle w:val="903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/>
              <w:ind/>
              <w:rPr/>
            </w:pPr>
            <w:r>
              <w:t xml:space="preserve">vocabulaire</w:t>
            </w:r>
            <w:r>
              <w:rPr>
                <w:spacing w:val="-7"/>
              </w:rPr>
              <w:t xml:space="preserve"> </w:t>
            </w:r>
            <w:r>
              <w:t xml:space="preserve">scientifique</w:t>
            </w:r>
            <w:r>
              <w:rPr>
                <w:spacing w:val="-7"/>
              </w:rPr>
              <w:t xml:space="preserve"> </w:t>
            </w:r>
            <w:r>
              <w:t xml:space="preserve">exact</w:t>
            </w:r>
            <w:r>
              <w:rPr>
                <w:spacing w:val="-7"/>
              </w:rPr>
              <w:t xml:space="preserve"> </w:t>
            </w:r>
            <w:r>
              <w:t xml:space="preserve">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précis.</w:t>
            </w:r>
            <w:r/>
          </w:p>
          <w:p w14:paraId="1DD2AB81" w14:textId="77777777">
            <w:pPr>
              <w:pStyle w:val="903"/>
              <w:numPr>
                <w:ilvl w:val="0"/>
                <w:numId w:val="4"/>
              </w:numPr>
              <w:pBdr/>
              <w:tabs>
                <w:tab w:val="left" w:leader="none" w:pos="805"/>
              </w:tabs>
              <w:spacing/>
              <w:ind/>
              <w:rPr>
                <w:u w:val="single"/>
              </w:rPr>
            </w:pPr>
            <w:r>
              <w:t xml:space="preserve">sans</w:t>
            </w:r>
            <w:r>
              <w:rPr>
                <w:spacing w:val="-5"/>
              </w:rPr>
              <w:t xml:space="preserve"> </w:t>
            </w:r>
            <w:r>
              <w:t xml:space="preserve">déformation</w:t>
            </w:r>
            <w:r>
              <w:rPr>
                <w:spacing w:val="-3"/>
              </w:rPr>
              <w:t xml:space="preserve"> </w:t>
            </w:r>
            <w:r>
              <w:t xml:space="preserve">ni</w:t>
            </w:r>
            <w:r>
              <w:rPr>
                <w:spacing w:val="-4"/>
              </w:rPr>
              <w:t xml:space="preserve"> </w:t>
            </w:r>
            <w:r>
              <w:t xml:space="preserve">erreur</w:t>
            </w:r>
            <w:r>
              <w:rPr>
                <w:spacing w:val="-2"/>
              </w:rPr>
              <w:t xml:space="preserve">.</w:t>
            </w:r>
            <w:r>
              <w:rPr>
                <w:u w:val="single"/>
              </w:rPr>
            </w:r>
            <w:r>
              <w:rPr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</w:tcPr>
          <w:p w14:paraId="360A38A6" w14:textId="77777777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63" w:type="dxa"/>
          </w:tcPr>
          <w:p w14:paraId="514B37ED" w14:textId="77777777">
            <w:pPr>
              <w:pStyle w:val="903"/>
              <w:pBdr/>
              <w:spacing/>
              <w:ind w:left="85"/>
              <w:rPr>
                <w:u w:val="single"/>
              </w:rPr>
            </w:pPr>
            <w:r>
              <w:rPr>
                <w:u w:val="single"/>
              </w:rPr>
              <w:t xml:space="preserve">CONFORMITE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u w:val="single"/>
              </w:rPr>
              <w:t xml:space="preserve">:</w:t>
            </w:r>
            <w:r>
              <w:rPr>
                <w:spacing w:val="-11"/>
              </w:rPr>
              <w:t xml:space="preserve"> </w:t>
            </w:r>
            <w:r>
              <w:t xml:space="preserve">J’ai</w:t>
            </w:r>
            <w:r>
              <w:rPr>
                <w:spacing w:val="-11"/>
              </w:rPr>
              <w:t xml:space="preserve"> </w:t>
            </w:r>
            <w:r>
              <w:rPr>
                <w:b/>
              </w:rPr>
              <w:t xml:space="preserve">listé</w:t>
            </w:r>
            <w:r>
              <w:rPr>
                <w:b/>
                <w:spacing w:val="-11"/>
              </w:rPr>
              <w:t xml:space="preserve"> </w:t>
            </w:r>
            <w:r>
              <w:t xml:space="preserve">des</w:t>
            </w:r>
            <w:r>
              <w:rPr>
                <w:spacing w:val="-11"/>
              </w:rPr>
              <w:t xml:space="preserve"> </w:t>
            </w:r>
            <w:r>
              <w:t xml:space="preserve">preuves</w:t>
            </w:r>
            <w:r>
              <w:rPr>
                <w:spacing w:val="-11"/>
              </w:rPr>
              <w:t xml:space="preserve"> </w:t>
            </w:r>
            <w:r>
              <w:t xml:space="preserve">scientifiques</w:t>
            </w:r>
            <w:r>
              <w:rPr>
                <w:spacing w:val="-11"/>
              </w:rPr>
              <w:t xml:space="preserve"> </w:t>
            </w:r>
            <w:r>
              <w:t xml:space="preserve">(exemples,</w:t>
            </w:r>
            <w:r>
              <w:rPr>
                <w:spacing w:val="-11"/>
              </w:rPr>
              <w:t xml:space="preserve"> </w:t>
            </w:r>
            <w:r>
              <w:t xml:space="preserve">résultats</w:t>
            </w:r>
            <w:r>
              <w:rPr>
                <w:spacing w:val="-11"/>
              </w:rPr>
              <w:t xml:space="preserve"> </w:t>
            </w:r>
            <w:r>
              <w:t xml:space="preserve">d’expériences,</w:t>
            </w:r>
            <w:r>
              <w:rPr>
                <w:spacing w:val="-11"/>
              </w:rPr>
              <w:t xml:space="preserve"> </w:t>
            </w:r>
            <w:r>
              <w:t xml:space="preserve">faits</w:t>
            </w:r>
            <w:r>
              <w:rPr>
                <w:spacing w:val="-11"/>
              </w:rPr>
              <w:t xml:space="preserve"> </w:t>
            </w:r>
            <w:r>
              <w:t xml:space="preserve">historiques, sources fiables) et non issues d’opinions/croyances.</w:t>
            </w:r>
            <w:r>
              <w:rPr>
                <w:u w:val="single"/>
              </w:rPr>
            </w:r>
            <w:r>
              <w:rPr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</w:tcPr>
          <w:p w14:paraId="4DAD5723" w14:textId="77777777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</w:r>
          </w:p>
        </w:tc>
      </w:tr>
    </w:tbl>
    <w:p w14:paraId="35D69300" w14:textId="77777777">
      <w:pPr>
        <w:pBdr/>
        <w:spacing/>
        <w:ind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p w14:paraId="6E66957E" w14:textId="77777777">
      <w:pPr>
        <w:pBdr/>
        <w:spacing/>
        <w:ind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p w14:paraId="44717CBF" w14:textId="77777777">
      <w:pPr>
        <w:pBdr/>
        <w:spacing/>
        <w:ind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p w14:paraId="2997E132" w14:textId="77777777">
      <w:pPr>
        <w:pBdr/>
        <w:spacing/>
        <w:ind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p w14:paraId="6C839B1C" w14:textId="77777777"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1A0990A6" w14:textId="77777777">
      <w:pPr>
        <w:pBdr/>
        <w:spacing/>
        <w:ind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sectPr>
      <w:footnotePr/>
      <w:endnotePr/>
      <w:type w:val="nextPage"/>
      <w:pgSz w:h="16838" w:orient="portrait" w:w="11906"/>
      <w:pgMar w:top="680" w:right="680" w:bottom="680" w:left="680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Mangal">
    <w:panose1 w:val="02040503050406030204"/>
  </w:font>
  <w:font w:name="Calibri">
    <w:panose1 w:val="020F0502020204030204"/>
  </w:font>
  <w:font w:name="Times New Roman">
    <w:panose1 w:val="02020603050405020304"/>
  </w:font>
  <w:font w:name="Microsoft YaHei">
    <w:panose1 w:val="020B0502020202020204"/>
  </w:font>
  <w:font w:name="Arial">
    <w:panose1 w:val="020B0604020202020204"/>
  </w:font>
  <w:font w:name="NSimSun">
    <w:panose1 w:val="02020603020101020101"/>
  </w:font>
  <w:font w:name="Wingdings">
    <w:panose1 w:val="05000000000000000000"/>
  </w:font>
  <w:font w:name="Liberation Sans">
    <w:panose1 w:val="020B0604020202020204"/>
  </w:font>
  <w:font w:name="Lucida Sans">
    <w:panose1 w:val="020B0603030804020204"/>
  </w:font>
  <w:font w:name="Liberation Serif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C1978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18634C82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8"/>
      </w:pPr>
      <w:rPr/>
      <w:start w:val="1"/>
      <w:suff w:val="tab"/>
    </w:lvl>
  </w:abstractNum>
  <w:abstractNum w:abstractNumId="2">
    <w:nsid w:val="3E753F1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7448347E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/>
        <w:lang w:val="fr-FR" w:eastAsia="en-US" w:bidi="ar-SA"/>
      </w:rPr>
      <w:start w:val="0"/>
      <w:suff w:val="tab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NSimSun" w:cs="Lucida Sans"/>
        <w:sz w:val="24"/>
        <w:szCs w:val="24"/>
        <w:lang w:val="fr-FR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Table Grid Light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89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1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2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3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4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5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6"/>
    <w:basedOn w:val="89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eba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de6fe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d3ba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5bafe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f1c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8cec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c204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c204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cc204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c204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cc204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cc204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7b4fb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b7f36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133fb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54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706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371b0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d93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d93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d93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d93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f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f1d1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f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f1d1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371b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d93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d93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f1d1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f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1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2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3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4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5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6"/>
    <w:basedOn w:val="89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1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2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3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4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5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6"/>
    <w:basedOn w:val="89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4">
    <w:name w:val="Heading 1"/>
    <w:basedOn w:val="891"/>
    <w:next w:val="891"/>
    <w:link w:val="84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5">
    <w:name w:val="Heading 2"/>
    <w:basedOn w:val="891"/>
    <w:next w:val="891"/>
    <w:link w:val="84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6">
    <w:name w:val="Heading 3"/>
    <w:basedOn w:val="891"/>
    <w:next w:val="891"/>
    <w:link w:val="84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7">
    <w:name w:val="Heading 4"/>
    <w:basedOn w:val="891"/>
    <w:next w:val="891"/>
    <w:link w:val="84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8">
    <w:name w:val="Heading 5"/>
    <w:basedOn w:val="891"/>
    <w:next w:val="891"/>
    <w:link w:val="84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9">
    <w:name w:val="Heading 6"/>
    <w:basedOn w:val="891"/>
    <w:next w:val="891"/>
    <w:link w:val="84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0">
    <w:name w:val="Heading 7"/>
    <w:basedOn w:val="891"/>
    <w:next w:val="891"/>
    <w:link w:val="84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1">
    <w:name w:val="Heading 8"/>
    <w:basedOn w:val="891"/>
    <w:next w:val="891"/>
    <w:link w:val="85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Heading 9"/>
    <w:basedOn w:val="891"/>
    <w:next w:val="891"/>
    <w:link w:val="85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3">
    <w:name w:val="Heading 1 Char"/>
    <w:basedOn w:val="892"/>
    <w:link w:val="8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4">
    <w:name w:val="Heading 2 Char"/>
    <w:basedOn w:val="892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5">
    <w:name w:val="Heading 3 Char"/>
    <w:basedOn w:val="892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6">
    <w:name w:val="Heading 4 Char"/>
    <w:basedOn w:val="892"/>
    <w:link w:val="83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7">
    <w:name w:val="Heading 5 Char"/>
    <w:basedOn w:val="892"/>
    <w:link w:val="8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8">
    <w:name w:val="Heading 6 Char"/>
    <w:basedOn w:val="892"/>
    <w:link w:val="83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9">
    <w:name w:val="Heading 7 Char"/>
    <w:basedOn w:val="892"/>
    <w:link w:val="84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0">
    <w:name w:val="Heading 8 Char"/>
    <w:basedOn w:val="892"/>
    <w:link w:val="8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1">
    <w:name w:val="Heading 9 Char"/>
    <w:basedOn w:val="892"/>
    <w:link w:val="8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2">
    <w:name w:val="Title Char"/>
    <w:basedOn w:val="892"/>
    <w:link w:val="89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3">
    <w:name w:val="Subtitle"/>
    <w:basedOn w:val="891"/>
    <w:next w:val="891"/>
    <w:link w:val="85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4">
    <w:name w:val="Subtitle Char"/>
    <w:basedOn w:val="892"/>
    <w:link w:val="85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5">
    <w:name w:val="Quote"/>
    <w:basedOn w:val="891"/>
    <w:next w:val="891"/>
    <w:link w:val="85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6">
    <w:name w:val="Quote Char"/>
    <w:basedOn w:val="892"/>
    <w:link w:val="85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Intense Emphasis"/>
    <w:basedOn w:val="89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8">
    <w:name w:val="Intense Quote"/>
    <w:basedOn w:val="891"/>
    <w:next w:val="891"/>
    <w:link w:val="85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9">
    <w:name w:val="Intense Quote Char"/>
    <w:basedOn w:val="892"/>
    <w:link w:val="85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0">
    <w:name w:val="Intense Reference"/>
    <w:basedOn w:val="89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1">
    <w:name w:val="No Spacing"/>
    <w:basedOn w:val="891"/>
    <w:uiPriority w:val="1"/>
    <w:qFormat/>
    <w:pPr>
      <w:pBdr/>
      <w:spacing w:after="0" w:line="240" w:lineRule="auto"/>
      <w:ind/>
    </w:pPr>
  </w:style>
  <w:style w:type="character" w:styleId="862">
    <w:name w:val="Subtle Emphasis"/>
    <w:basedOn w:val="89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Emphasis"/>
    <w:basedOn w:val="892"/>
    <w:uiPriority w:val="20"/>
    <w:qFormat/>
    <w:pPr>
      <w:pBdr/>
      <w:spacing/>
      <w:ind/>
    </w:pPr>
    <w:rPr>
      <w:i/>
      <w:iCs/>
    </w:rPr>
  </w:style>
  <w:style w:type="character" w:styleId="864">
    <w:name w:val="Strong"/>
    <w:basedOn w:val="892"/>
    <w:uiPriority w:val="22"/>
    <w:qFormat/>
    <w:pPr>
      <w:pBdr/>
      <w:spacing/>
      <w:ind/>
    </w:pPr>
    <w:rPr>
      <w:b/>
      <w:bCs/>
    </w:rPr>
  </w:style>
  <w:style w:type="character" w:styleId="865">
    <w:name w:val="Subtle Reference"/>
    <w:basedOn w:val="89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6">
    <w:name w:val="Book Title"/>
    <w:basedOn w:val="89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7">
    <w:name w:val="Header"/>
    <w:basedOn w:val="891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Header Char"/>
    <w:basedOn w:val="892"/>
    <w:link w:val="867"/>
    <w:uiPriority w:val="99"/>
    <w:pPr>
      <w:pBdr/>
      <w:spacing/>
      <w:ind/>
    </w:pPr>
  </w:style>
  <w:style w:type="paragraph" w:styleId="869">
    <w:name w:val="Footer"/>
    <w:basedOn w:val="891"/>
    <w:link w:val="87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0">
    <w:name w:val="Footer Char"/>
    <w:basedOn w:val="892"/>
    <w:link w:val="869"/>
    <w:uiPriority w:val="99"/>
    <w:pPr>
      <w:pBdr/>
      <w:spacing/>
      <w:ind/>
    </w:pPr>
  </w:style>
  <w:style w:type="paragraph" w:styleId="871">
    <w:name w:val="footnote text"/>
    <w:basedOn w:val="891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92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92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1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92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92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9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9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1"/>
    <w:next w:val="891"/>
    <w:uiPriority w:val="39"/>
    <w:unhideWhenUsed/>
    <w:pPr>
      <w:pBdr/>
      <w:spacing w:after="100"/>
      <w:ind/>
    </w:pPr>
  </w:style>
  <w:style w:type="paragraph" w:styleId="880">
    <w:name w:val="toc 2"/>
    <w:basedOn w:val="891"/>
    <w:next w:val="891"/>
    <w:uiPriority w:val="39"/>
    <w:unhideWhenUsed/>
    <w:pPr>
      <w:pBdr/>
      <w:spacing w:after="100"/>
      <w:ind w:left="220"/>
    </w:pPr>
  </w:style>
  <w:style w:type="paragraph" w:styleId="881">
    <w:name w:val="toc 3"/>
    <w:basedOn w:val="891"/>
    <w:next w:val="891"/>
    <w:uiPriority w:val="39"/>
    <w:unhideWhenUsed/>
    <w:pPr>
      <w:pBdr/>
      <w:spacing w:after="100"/>
      <w:ind w:left="440"/>
    </w:pPr>
  </w:style>
  <w:style w:type="paragraph" w:styleId="882">
    <w:name w:val="toc 4"/>
    <w:basedOn w:val="891"/>
    <w:next w:val="891"/>
    <w:uiPriority w:val="39"/>
    <w:unhideWhenUsed/>
    <w:pPr>
      <w:pBdr/>
      <w:spacing w:after="100"/>
      <w:ind w:left="660"/>
    </w:pPr>
  </w:style>
  <w:style w:type="paragraph" w:styleId="883">
    <w:name w:val="toc 5"/>
    <w:basedOn w:val="891"/>
    <w:next w:val="891"/>
    <w:uiPriority w:val="39"/>
    <w:unhideWhenUsed/>
    <w:pPr>
      <w:pBdr/>
      <w:spacing w:after="100"/>
      <w:ind w:left="880"/>
    </w:pPr>
  </w:style>
  <w:style w:type="paragraph" w:styleId="884">
    <w:name w:val="toc 6"/>
    <w:basedOn w:val="891"/>
    <w:next w:val="891"/>
    <w:uiPriority w:val="39"/>
    <w:unhideWhenUsed/>
    <w:pPr>
      <w:pBdr/>
      <w:spacing w:after="100"/>
      <w:ind w:left="1100"/>
    </w:pPr>
  </w:style>
  <w:style w:type="paragraph" w:styleId="885">
    <w:name w:val="toc 7"/>
    <w:basedOn w:val="891"/>
    <w:next w:val="891"/>
    <w:uiPriority w:val="39"/>
    <w:unhideWhenUsed/>
    <w:pPr>
      <w:pBdr/>
      <w:spacing w:after="100"/>
      <w:ind w:left="1320"/>
    </w:pPr>
  </w:style>
  <w:style w:type="paragraph" w:styleId="886">
    <w:name w:val="toc 8"/>
    <w:basedOn w:val="891"/>
    <w:next w:val="891"/>
    <w:uiPriority w:val="39"/>
    <w:unhideWhenUsed/>
    <w:pPr>
      <w:pBdr/>
      <w:spacing w:after="100"/>
      <w:ind w:left="1540"/>
    </w:pPr>
  </w:style>
  <w:style w:type="paragraph" w:styleId="887">
    <w:name w:val="toc 9"/>
    <w:basedOn w:val="891"/>
    <w:next w:val="891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92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1"/>
    <w:next w:val="891"/>
    <w:uiPriority w:val="99"/>
    <w:unhideWhenUsed/>
    <w:pPr>
      <w:pBdr/>
      <w:spacing w:after="0" w:afterAutospacing="0"/>
      <w:ind/>
    </w:pPr>
  </w:style>
  <w:style w:type="paragraph" w:styleId="891" w:default="1">
    <w:name w:val="Normal"/>
    <w:qFormat/>
    <w:pPr>
      <w:pBdr/>
      <w:spacing/>
      <w:ind/>
    </w:pPr>
  </w:style>
  <w:style w:type="character" w:styleId="892" w:default="1">
    <w:name w:val="Default Paragraph Font"/>
    <w:uiPriority w:val="1"/>
    <w:unhideWhenUsed/>
    <w:pPr>
      <w:pBdr/>
      <w:spacing/>
      <w:ind/>
    </w:pPr>
  </w:style>
  <w:style w:type="table" w:styleId="89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4" w:default="1">
    <w:name w:val="No List"/>
    <w:uiPriority w:val="99"/>
    <w:semiHidden/>
    <w:unhideWhenUsed/>
    <w:pPr>
      <w:pBdr/>
      <w:spacing/>
      <w:ind/>
    </w:pPr>
  </w:style>
  <w:style w:type="paragraph" w:styleId="895">
    <w:name w:val="Title"/>
    <w:basedOn w:val="891"/>
    <w:next w:val="896"/>
    <w:uiPriority w:val="10"/>
    <w:qFormat/>
    <w:pPr>
      <w:keepNext w:val="true"/>
      <w:pBdr/>
      <w:spacing w:after="120" w:before="240"/>
      <w:ind/>
    </w:pPr>
    <w:rPr>
      <w:rFonts w:ascii="Liberation Sans" w:hAnsi="Liberation Sans" w:eastAsia="Microsoft YaHei"/>
      <w:sz w:val="28"/>
      <w:szCs w:val="28"/>
    </w:rPr>
  </w:style>
  <w:style w:type="paragraph" w:styleId="896">
    <w:name w:val="Body Text"/>
    <w:basedOn w:val="891"/>
    <w:pPr>
      <w:pBdr/>
      <w:spacing w:after="140" w:line="276" w:lineRule="auto"/>
      <w:ind/>
    </w:pPr>
  </w:style>
  <w:style w:type="paragraph" w:styleId="897">
    <w:name w:val="List"/>
    <w:basedOn w:val="896"/>
    <w:pPr>
      <w:pBdr/>
      <w:spacing/>
      <w:ind/>
    </w:pPr>
  </w:style>
  <w:style w:type="paragraph" w:styleId="898">
    <w:name w:val="Caption"/>
    <w:basedOn w:val="891"/>
    <w:qFormat/>
    <w:pPr>
      <w:suppressLineNumbers w:val="true"/>
      <w:pBdr/>
      <w:spacing w:after="120" w:before="120"/>
      <w:ind/>
    </w:pPr>
    <w:rPr>
      <w:i/>
      <w:iCs/>
    </w:rPr>
  </w:style>
  <w:style w:type="paragraph" w:styleId="899" w:customStyle="1">
    <w:name w:val="Index"/>
    <w:basedOn w:val="891"/>
    <w:qFormat/>
    <w:pPr>
      <w:suppressLineNumbers w:val="true"/>
      <w:pBdr/>
      <w:spacing/>
      <w:ind/>
    </w:pPr>
  </w:style>
  <w:style w:type="paragraph" w:styleId="900" w:customStyle="1">
    <w:name w:val="Titre (user)"/>
    <w:basedOn w:val="891"/>
    <w:next w:val="896"/>
    <w:qFormat/>
    <w:pPr>
      <w:keepNext w:val="true"/>
      <w:pBdr/>
      <w:spacing w:after="120" w:before="240"/>
      <w:ind/>
    </w:pPr>
    <w:rPr>
      <w:rFonts w:ascii="Liberation Sans" w:hAnsi="Liberation Sans" w:eastAsia="Microsoft YaHei"/>
      <w:sz w:val="28"/>
      <w:szCs w:val="28"/>
    </w:rPr>
  </w:style>
  <w:style w:type="paragraph" w:styleId="901">
    <w:name w:val="List Paragraph"/>
    <w:basedOn w:val="891"/>
    <w:uiPriority w:val="34"/>
    <w:qFormat/>
    <w:pPr>
      <w:pBdr/>
      <w:spacing w:after="200"/>
      <w:ind w:left="720"/>
      <w:contextualSpacing w:val="true"/>
    </w:pPr>
  </w:style>
  <w:style w:type="table" w:styleId="902">
    <w:name w:val="Table Grid"/>
    <w:basedOn w:val="893"/>
    <w:uiPriority w:val="59"/>
    <w:pPr>
      <w:pBdr/>
      <w:spacing/>
      <w:ind/>
    </w:pPr>
    <w:rPr>
      <w:rFonts w:ascii="Times New Roman" w:hAnsi="Times New Roman" w:eastAsia="Calibri" w:cs="Times New Roman"/>
      <w:sz w:val="20"/>
      <w:szCs w:val="20"/>
      <w:lang w:eastAsia="fr-FR" w:bidi="ar-S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3" w:customStyle="1">
    <w:name w:val="Table Paragraph"/>
    <w:basedOn w:val="891"/>
    <w:uiPriority w:val="1"/>
    <w:qFormat/>
    <w:pPr>
      <w:widowControl w:val="false"/>
      <w:pBdr/>
      <w:spacing/>
      <w:ind/>
    </w:pPr>
    <w:rPr>
      <w:rFonts w:ascii="Calibri" w:hAnsi="Calibri" w:eastAsia="Calibri" w:cs="Calibri"/>
      <w:sz w:val="22"/>
      <w:szCs w:val="22"/>
      <w:lang w:eastAsia="en-US" w:bidi="ar-SA"/>
    </w:rPr>
  </w:style>
  <w:style w:type="paragraph" w:styleId="904">
    <w:name w:val="Normal (Web)"/>
    <w:basedOn w:val="891"/>
    <w:uiPriority w:val="99"/>
    <w:semiHidden/>
    <w:unhideWhenUsed/>
    <w:pPr>
      <w:pBdr/>
      <w:spacing/>
      <w:ind/>
    </w:pPr>
    <w:rPr>
      <w:rFonts w:ascii="Times New Roman" w:hAnsi="Times New Roman" w:cs="Mangal"/>
      <w:szCs w:val="21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fr-FR</dc:language>
  <cp:lastModifiedBy>Marion SALAH</cp:lastModifiedBy>
  <cp:revision>9</cp:revision>
  <dcterms:created xsi:type="dcterms:W3CDTF">2025-11-04T12:26:01Z</dcterms:created>
  <dcterms:modified xsi:type="dcterms:W3CDTF">2026-06-30T20:40:46Z</dcterms:modified>
</cp:coreProperties>
</file>